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4F95B" w14:textId="77777777" w:rsidR="006E6A35" w:rsidRDefault="001518C8" w:rsidP="00541860">
      <w:pPr>
        <w:spacing w:line="23" w:lineRule="atLeast"/>
        <w:jc w:val="center"/>
        <w:rPr>
          <w:rFonts w:ascii="Arial" w:eastAsiaTheme="minorEastAsia" w:hAnsi="Arial" w:cs="Arial"/>
          <w:b/>
          <w:sz w:val="22"/>
          <w:szCs w:val="22"/>
          <w:lang w:val="es-419" w:eastAsia="en-US"/>
        </w:rPr>
      </w:pPr>
      <w:r w:rsidRPr="001518C8">
        <w:rPr>
          <w:rFonts w:ascii="Arial" w:eastAsiaTheme="minorEastAsia" w:hAnsi="Arial" w:cs="Arial"/>
          <w:b/>
          <w:sz w:val="22"/>
          <w:szCs w:val="22"/>
          <w:lang w:val="es-419" w:eastAsia="en-US"/>
        </w:rPr>
        <w:t>Guía para solicitar el trámite de caducos de pedidos de contrataciones ordinarias</w:t>
      </w:r>
      <w:r w:rsidR="00541860">
        <w:rPr>
          <w:rFonts w:ascii="Arial" w:eastAsiaTheme="minorEastAsia" w:hAnsi="Arial" w:cs="Arial"/>
          <w:b/>
          <w:sz w:val="22"/>
          <w:szCs w:val="22"/>
          <w:lang w:val="es-419" w:eastAsia="en-US"/>
        </w:rPr>
        <w:t xml:space="preserve"> y compromisos no devengados</w:t>
      </w:r>
    </w:p>
    <w:p w14:paraId="1B5EDB6C" w14:textId="77777777" w:rsidR="00541860" w:rsidRPr="009A2EBC" w:rsidRDefault="00541860" w:rsidP="00541860">
      <w:pPr>
        <w:spacing w:line="23" w:lineRule="atLeast"/>
        <w:jc w:val="center"/>
        <w:rPr>
          <w:rFonts w:ascii="Arial" w:eastAsiaTheme="minorEastAsia" w:hAnsi="Arial" w:cs="Arial"/>
          <w:b/>
          <w:sz w:val="22"/>
          <w:szCs w:val="22"/>
          <w:lang w:val="es-419" w:eastAsia="en-US"/>
        </w:rPr>
      </w:pPr>
    </w:p>
    <w:p w14:paraId="21147D07" w14:textId="77777777" w:rsidR="006E6A35" w:rsidRPr="009A2EBC" w:rsidRDefault="006E6A35" w:rsidP="00014A2D">
      <w:pPr>
        <w:spacing w:line="23" w:lineRule="atLeast"/>
        <w:jc w:val="both"/>
        <w:rPr>
          <w:rFonts w:ascii="Arial" w:hAnsi="Arial" w:cs="Arial"/>
          <w:sz w:val="22"/>
          <w:szCs w:val="22"/>
          <w:lang w:val="es-CR"/>
        </w:rPr>
      </w:pPr>
    </w:p>
    <w:p w14:paraId="2A0D3143" w14:textId="77777777" w:rsidR="006E6A35" w:rsidRPr="009A2EBC" w:rsidRDefault="006E6A35" w:rsidP="00014A2D">
      <w:pPr>
        <w:spacing w:line="23" w:lineRule="atLeast"/>
        <w:jc w:val="both"/>
        <w:rPr>
          <w:rFonts w:ascii="Arial" w:hAnsi="Arial" w:cs="Arial"/>
          <w:sz w:val="22"/>
          <w:szCs w:val="22"/>
          <w:lang w:val="es-CR"/>
        </w:rPr>
      </w:pPr>
      <w:r w:rsidRPr="009A2EBC">
        <w:rPr>
          <w:rFonts w:ascii="Arial" w:hAnsi="Arial" w:cs="Arial"/>
          <w:sz w:val="22"/>
          <w:szCs w:val="22"/>
          <w:lang w:val="es-CR"/>
        </w:rPr>
        <w:t>El objetivo de la presente guía es brindarle a la persona</w:t>
      </w:r>
      <w:r w:rsidR="000B13FF" w:rsidRPr="009A2EBC">
        <w:rPr>
          <w:rFonts w:ascii="Arial" w:hAnsi="Arial" w:cs="Arial"/>
          <w:sz w:val="22"/>
          <w:szCs w:val="22"/>
          <w:lang w:val="es-CR"/>
        </w:rPr>
        <w:t xml:space="preserve"> usuaria</w:t>
      </w:r>
      <w:r w:rsidRPr="009A2EBC">
        <w:rPr>
          <w:rFonts w:ascii="Arial" w:hAnsi="Arial" w:cs="Arial"/>
          <w:sz w:val="22"/>
          <w:szCs w:val="22"/>
          <w:lang w:val="es-CR"/>
        </w:rPr>
        <w:t>, una orientación sobre cómo debe</w:t>
      </w:r>
      <w:r w:rsidR="00CC1C1A" w:rsidRPr="009A2EBC">
        <w:rPr>
          <w:rFonts w:ascii="Arial" w:hAnsi="Arial" w:cs="Arial"/>
          <w:sz w:val="22"/>
          <w:szCs w:val="22"/>
          <w:lang w:val="es-CR"/>
        </w:rPr>
        <w:t>rá</w:t>
      </w:r>
      <w:r w:rsidR="00405DF3" w:rsidRPr="009A2EBC">
        <w:rPr>
          <w:rFonts w:ascii="Arial" w:hAnsi="Arial" w:cs="Arial"/>
          <w:sz w:val="22"/>
          <w:szCs w:val="22"/>
          <w:lang w:val="es-CR"/>
        </w:rPr>
        <w:t xml:space="preserve"> </w:t>
      </w:r>
      <w:r w:rsidR="00203C11">
        <w:rPr>
          <w:rFonts w:ascii="Arial" w:hAnsi="Arial" w:cs="Arial"/>
          <w:sz w:val="22"/>
          <w:szCs w:val="22"/>
          <w:lang w:val="es-CR"/>
        </w:rPr>
        <w:t>solicitar la confección de caducos a</w:t>
      </w:r>
      <w:r w:rsidR="00405DF3" w:rsidRPr="009A2EBC">
        <w:rPr>
          <w:rFonts w:ascii="Arial" w:hAnsi="Arial" w:cs="Arial"/>
          <w:sz w:val="22"/>
          <w:szCs w:val="22"/>
          <w:lang w:val="es-CR"/>
        </w:rPr>
        <w:t xml:space="preserve"> la Proveeduría Judicial</w:t>
      </w:r>
      <w:r w:rsidRPr="009A2EBC">
        <w:rPr>
          <w:rFonts w:ascii="Arial" w:hAnsi="Arial" w:cs="Arial"/>
          <w:sz w:val="22"/>
          <w:szCs w:val="22"/>
          <w:lang w:val="es-CR"/>
        </w:rPr>
        <w:t xml:space="preserve">. </w:t>
      </w:r>
    </w:p>
    <w:p w14:paraId="5727A843" w14:textId="77777777" w:rsidR="006E6A35" w:rsidRPr="009A2EBC" w:rsidRDefault="006E6A35" w:rsidP="00014A2D">
      <w:pPr>
        <w:spacing w:line="23" w:lineRule="atLeast"/>
        <w:jc w:val="both"/>
        <w:rPr>
          <w:rFonts w:ascii="Arial" w:hAnsi="Arial" w:cs="Arial"/>
          <w:sz w:val="22"/>
          <w:szCs w:val="22"/>
          <w:lang w:val="es-CR"/>
        </w:rPr>
      </w:pPr>
    </w:p>
    <w:p w14:paraId="276EF2C6" w14:textId="77777777" w:rsidR="006E6A35" w:rsidRPr="009A2EBC" w:rsidRDefault="006E6A35" w:rsidP="00014A2D">
      <w:pPr>
        <w:spacing w:line="23" w:lineRule="atLeast"/>
        <w:jc w:val="both"/>
        <w:rPr>
          <w:rFonts w:ascii="Arial" w:hAnsi="Arial" w:cs="Arial"/>
          <w:sz w:val="22"/>
          <w:szCs w:val="22"/>
          <w:lang w:val="es-CR"/>
        </w:rPr>
      </w:pPr>
      <w:r w:rsidRPr="009A2EBC">
        <w:rPr>
          <w:rFonts w:ascii="Arial" w:hAnsi="Arial" w:cs="Arial"/>
          <w:sz w:val="22"/>
          <w:szCs w:val="22"/>
          <w:lang w:val="es-CR"/>
        </w:rPr>
        <w:t xml:space="preserve">De previo, cabe señalar que la conducta que se espera de las personas que </w:t>
      </w:r>
      <w:r w:rsidR="00F27CE3" w:rsidRPr="009A2EBC">
        <w:rPr>
          <w:rFonts w:ascii="Arial" w:hAnsi="Arial" w:cs="Arial"/>
          <w:sz w:val="22"/>
          <w:szCs w:val="22"/>
          <w:lang w:val="es-CR"/>
        </w:rPr>
        <w:t>gestionan compras públicas</w:t>
      </w:r>
      <w:r w:rsidRPr="009A2EBC">
        <w:rPr>
          <w:rFonts w:ascii="Arial" w:hAnsi="Arial" w:cs="Arial"/>
          <w:sz w:val="22"/>
          <w:szCs w:val="22"/>
          <w:lang w:val="es-CR"/>
        </w:rPr>
        <w:t xml:space="preserve"> es la regulada en el artículo 8 inciso a) de la Ley General de Contratación Pública (en adelante LGCP),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66646700" w14:textId="77777777" w:rsidR="006E6A35" w:rsidRPr="009A2EBC" w:rsidRDefault="006E6A35" w:rsidP="00014A2D">
      <w:pPr>
        <w:spacing w:line="23" w:lineRule="atLeast"/>
        <w:jc w:val="both"/>
        <w:rPr>
          <w:rFonts w:ascii="Arial" w:hAnsi="Arial" w:cs="Arial"/>
          <w:sz w:val="22"/>
          <w:szCs w:val="22"/>
          <w:lang w:val="es-CR"/>
        </w:rPr>
      </w:pPr>
    </w:p>
    <w:p w14:paraId="34D0595F" w14:textId="77777777" w:rsidR="00895558" w:rsidRPr="009A2EBC" w:rsidRDefault="00895558" w:rsidP="00014A2D">
      <w:pPr>
        <w:spacing w:line="23" w:lineRule="atLeast"/>
        <w:jc w:val="both"/>
        <w:rPr>
          <w:rFonts w:ascii="Arial" w:hAnsi="Arial" w:cs="Arial"/>
          <w:bCs/>
          <w:sz w:val="22"/>
          <w:szCs w:val="22"/>
          <w:lang w:val="es-419"/>
        </w:rPr>
      </w:pPr>
      <w:r w:rsidRPr="009A2EBC">
        <w:rPr>
          <w:rFonts w:ascii="Arial" w:hAnsi="Arial" w:cs="Arial"/>
          <w:bCs/>
          <w:sz w:val="22"/>
          <w:szCs w:val="22"/>
          <w:lang w:val="es-419"/>
        </w:rPr>
        <w:t>En virtud de lo anterior, cualquier trámite que se remita y que no se ajuste a lo descrito en la presente guía</w:t>
      </w:r>
      <w:r w:rsidR="00B70F6F" w:rsidRPr="009A2EBC">
        <w:rPr>
          <w:rFonts w:ascii="Arial" w:hAnsi="Arial" w:cs="Arial"/>
          <w:bCs/>
          <w:sz w:val="22"/>
          <w:szCs w:val="22"/>
          <w:lang w:val="es-419"/>
        </w:rPr>
        <w:t>,</w:t>
      </w:r>
      <w:r w:rsidRPr="009A2EBC">
        <w:rPr>
          <w:rFonts w:ascii="Arial" w:hAnsi="Arial" w:cs="Arial"/>
          <w:bCs/>
          <w:sz w:val="22"/>
          <w:szCs w:val="22"/>
          <w:lang w:val="es-419"/>
        </w:rPr>
        <w:t xml:space="preserve"> se determinará como no válido para lograr respaldar la gestión de que se trate, y por tanto será devuelto para que sea corregido.</w:t>
      </w:r>
    </w:p>
    <w:p w14:paraId="38015A58" w14:textId="77777777" w:rsidR="00895558" w:rsidRPr="009A2EBC" w:rsidRDefault="00895558" w:rsidP="00014A2D">
      <w:pPr>
        <w:spacing w:line="23" w:lineRule="atLeast"/>
        <w:jc w:val="both"/>
        <w:rPr>
          <w:rFonts w:ascii="Arial" w:hAnsi="Arial" w:cs="Arial"/>
          <w:sz w:val="22"/>
          <w:szCs w:val="22"/>
          <w:lang w:val="es-CR"/>
        </w:rPr>
      </w:pPr>
    </w:p>
    <w:p w14:paraId="26F3AABA" w14:textId="77777777" w:rsidR="004B3694" w:rsidRPr="009A2EBC" w:rsidRDefault="006E6A35" w:rsidP="00014A2D">
      <w:pPr>
        <w:spacing w:line="23" w:lineRule="atLeast"/>
        <w:jc w:val="both"/>
        <w:rPr>
          <w:rFonts w:ascii="Arial" w:hAnsi="Arial" w:cs="Arial"/>
          <w:sz w:val="22"/>
          <w:szCs w:val="22"/>
          <w:lang w:val="es-CR"/>
        </w:rPr>
      </w:pPr>
      <w:r w:rsidRPr="009A2EBC">
        <w:rPr>
          <w:rFonts w:ascii="Arial" w:hAnsi="Arial" w:cs="Arial"/>
          <w:sz w:val="22"/>
          <w:szCs w:val="22"/>
          <w:lang w:val="es-CR"/>
        </w:rPr>
        <w:t>Es por lo anterior, que a continuación se desarrollar</w:t>
      </w:r>
      <w:r w:rsidR="004B3694" w:rsidRPr="009A2EBC">
        <w:rPr>
          <w:rFonts w:ascii="Arial" w:hAnsi="Arial" w:cs="Arial"/>
          <w:sz w:val="22"/>
          <w:szCs w:val="22"/>
          <w:lang w:val="es-CR"/>
        </w:rPr>
        <w:t>á</w:t>
      </w:r>
      <w:r w:rsidRPr="009A2EBC">
        <w:rPr>
          <w:rFonts w:ascii="Arial" w:hAnsi="Arial" w:cs="Arial"/>
          <w:sz w:val="22"/>
          <w:szCs w:val="22"/>
          <w:lang w:val="es-CR"/>
        </w:rPr>
        <w:t xml:space="preserve">n, los aspectos que resultan de importancia en </w:t>
      </w:r>
      <w:r w:rsidR="007B4C2D">
        <w:rPr>
          <w:rFonts w:ascii="Arial" w:hAnsi="Arial" w:cs="Arial"/>
          <w:sz w:val="22"/>
          <w:szCs w:val="22"/>
          <w:lang w:val="es-CR"/>
        </w:rPr>
        <w:t xml:space="preserve">la confección de los caducos </w:t>
      </w:r>
      <w:r w:rsidR="004B3694" w:rsidRPr="009A2EBC">
        <w:rPr>
          <w:rFonts w:ascii="Arial" w:hAnsi="Arial" w:cs="Arial"/>
          <w:sz w:val="22"/>
          <w:szCs w:val="22"/>
          <w:lang w:val="es-CR"/>
        </w:rPr>
        <w:t xml:space="preserve">que se gestionan </w:t>
      </w:r>
      <w:r w:rsidR="007B4C2D">
        <w:rPr>
          <w:rFonts w:ascii="Arial" w:hAnsi="Arial" w:cs="Arial"/>
          <w:sz w:val="22"/>
          <w:szCs w:val="22"/>
        </w:rPr>
        <w:t>ante el</w:t>
      </w:r>
      <w:r w:rsidRPr="009A2EBC">
        <w:rPr>
          <w:rFonts w:ascii="Arial" w:hAnsi="Arial" w:cs="Arial"/>
          <w:sz w:val="22"/>
          <w:szCs w:val="22"/>
          <w:lang w:val="es-CR"/>
        </w:rPr>
        <w:t xml:space="preserve"> Departamento de Proveeduría</w:t>
      </w:r>
      <w:r w:rsidR="004B3694" w:rsidRPr="009A2EBC">
        <w:rPr>
          <w:rFonts w:ascii="Arial" w:hAnsi="Arial" w:cs="Arial"/>
          <w:sz w:val="22"/>
          <w:szCs w:val="22"/>
          <w:lang w:val="es-CR"/>
        </w:rPr>
        <w:t>.</w:t>
      </w:r>
    </w:p>
    <w:p w14:paraId="6CE9635B" w14:textId="77777777" w:rsidR="004B3694" w:rsidRDefault="004B3694" w:rsidP="00014A2D">
      <w:pPr>
        <w:spacing w:line="23" w:lineRule="atLeast"/>
        <w:jc w:val="both"/>
        <w:rPr>
          <w:rFonts w:ascii="Arial" w:hAnsi="Arial" w:cs="Arial"/>
          <w:sz w:val="22"/>
          <w:szCs w:val="22"/>
          <w:lang w:val="es-CR"/>
        </w:rPr>
      </w:pPr>
    </w:p>
    <w:p w14:paraId="50958654" w14:textId="77777777" w:rsidR="00014A2D" w:rsidRPr="009A2EBC" w:rsidRDefault="00014A2D" w:rsidP="00014A2D">
      <w:pPr>
        <w:spacing w:line="23" w:lineRule="atLeast"/>
        <w:jc w:val="both"/>
        <w:rPr>
          <w:rFonts w:ascii="Arial" w:hAnsi="Arial" w:cs="Arial"/>
          <w:sz w:val="22"/>
          <w:szCs w:val="22"/>
          <w:lang w:val="es-CR"/>
        </w:rPr>
      </w:pPr>
    </w:p>
    <w:p w14:paraId="134F307E" w14:textId="77777777" w:rsidR="00054255" w:rsidRPr="00014A2D" w:rsidRDefault="00014A2D" w:rsidP="00014A2D">
      <w:pPr>
        <w:spacing w:line="23" w:lineRule="atLeast"/>
        <w:jc w:val="both"/>
        <w:rPr>
          <w:rFonts w:ascii="Arial" w:hAnsi="Arial" w:cs="Arial"/>
          <w:b/>
          <w:bCs/>
          <w:sz w:val="22"/>
          <w:szCs w:val="22"/>
        </w:rPr>
      </w:pPr>
      <w:r w:rsidRPr="00014A2D">
        <w:rPr>
          <w:rFonts w:ascii="Arial" w:hAnsi="Arial" w:cs="Arial"/>
          <w:b/>
          <w:bCs/>
          <w:sz w:val="22"/>
          <w:szCs w:val="22"/>
        </w:rPr>
        <w:t>Consideraciones</w:t>
      </w:r>
      <w:r w:rsidR="00BF2651" w:rsidRPr="00014A2D">
        <w:rPr>
          <w:rFonts w:ascii="Arial" w:hAnsi="Arial" w:cs="Arial"/>
          <w:b/>
          <w:bCs/>
          <w:sz w:val="22"/>
          <w:szCs w:val="22"/>
        </w:rPr>
        <w:t>:</w:t>
      </w:r>
    </w:p>
    <w:p w14:paraId="6003FB6F" w14:textId="77777777" w:rsidR="00014A2D" w:rsidRPr="00BF2651" w:rsidRDefault="00014A2D" w:rsidP="00014A2D">
      <w:pPr>
        <w:spacing w:line="23" w:lineRule="atLeast"/>
        <w:jc w:val="both"/>
        <w:rPr>
          <w:rFonts w:ascii="Arial" w:hAnsi="Arial" w:cs="Arial"/>
          <w:sz w:val="22"/>
          <w:szCs w:val="22"/>
        </w:rPr>
      </w:pPr>
    </w:p>
    <w:p w14:paraId="13D1AADE" w14:textId="77777777" w:rsidR="00BF2651" w:rsidRPr="00014A2D" w:rsidRDefault="0072649B" w:rsidP="00014A2D">
      <w:pPr>
        <w:pStyle w:val="Prrafodelista"/>
        <w:numPr>
          <w:ilvl w:val="0"/>
          <w:numId w:val="30"/>
        </w:numPr>
        <w:spacing w:line="23" w:lineRule="atLeast"/>
        <w:ind w:left="426" w:hanging="425"/>
        <w:jc w:val="both"/>
        <w:rPr>
          <w:rFonts w:ascii="Arial" w:hAnsi="Arial" w:cs="Arial"/>
          <w:sz w:val="22"/>
          <w:szCs w:val="22"/>
        </w:rPr>
      </w:pPr>
      <w:r>
        <w:rPr>
          <w:rFonts w:ascii="Arial" w:hAnsi="Arial" w:cs="Arial"/>
          <w:sz w:val="22"/>
          <w:szCs w:val="22"/>
        </w:rPr>
        <w:t>L</w:t>
      </w:r>
      <w:r w:rsidR="00BF2651" w:rsidRPr="00014A2D">
        <w:rPr>
          <w:rFonts w:ascii="Arial" w:hAnsi="Arial" w:cs="Arial"/>
          <w:sz w:val="22"/>
          <w:szCs w:val="22"/>
        </w:rPr>
        <w:t xml:space="preserve">os caducos de </w:t>
      </w:r>
      <w:r w:rsidR="00452CC8">
        <w:rPr>
          <w:rFonts w:ascii="Arial" w:hAnsi="Arial" w:cs="Arial"/>
          <w:sz w:val="22"/>
          <w:szCs w:val="22"/>
        </w:rPr>
        <w:t xml:space="preserve">pedidos de </w:t>
      </w:r>
      <w:r w:rsidR="00BF2651" w:rsidRPr="00014A2D">
        <w:rPr>
          <w:rFonts w:ascii="Arial" w:hAnsi="Arial" w:cs="Arial"/>
          <w:sz w:val="22"/>
          <w:szCs w:val="22"/>
        </w:rPr>
        <w:t>compromisos no devengados y de aquellos que correspondan al periodo en ejecución, serán gestionados por la Unidad de Soporte Estratégico en Contratación Pública (en adelante USECP), por lo que todas las solicitudes sin excepción, deberán presentarse utilizando el formulario adjunto</w:t>
      </w:r>
      <w:r w:rsidR="00EA39AE">
        <w:rPr>
          <w:rFonts w:ascii="Arial" w:hAnsi="Arial" w:cs="Arial"/>
          <w:sz w:val="22"/>
          <w:szCs w:val="22"/>
        </w:rPr>
        <w:t xml:space="preserve"> al final de esta guía</w:t>
      </w:r>
      <w:r w:rsidR="00BF2651" w:rsidRPr="00014A2D">
        <w:rPr>
          <w:rFonts w:ascii="Arial" w:hAnsi="Arial" w:cs="Arial"/>
          <w:sz w:val="22"/>
          <w:szCs w:val="22"/>
        </w:rPr>
        <w:t xml:space="preserve"> y remitirse al correo </w:t>
      </w:r>
      <w:hyperlink r:id="rId8" w:history="1">
        <w:r w:rsidR="00EA39AE" w:rsidRPr="00206B6C">
          <w:rPr>
            <w:rStyle w:val="Hipervnculo"/>
            <w:rFonts w:ascii="Arial" w:hAnsi="Arial" w:cs="Arial"/>
            <w:sz w:val="22"/>
            <w:szCs w:val="22"/>
          </w:rPr>
          <w:t>licitaciones@Poder-Judicial.go.cr</w:t>
        </w:r>
      </w:hyperlink>
      <w:r w:rsidR="00EA39AE">
        <w:rPr>
          <w:rFonts w:ascii="Arial" w:hAnsi="Arial" w:cs="Arial"/>
          <w:sz w:val="22"/>
          <w:szCs w:val="22"/>
        </w:rPr>
        <w:t>,</w:t>
      </w:r>
      <w:r w:rsidR="00BF2651" w:rsidRPr="00014A2D">
        <w:rPr>
          <w:rFonts w:ascii="Arial" w:hAnsi="Arial" w:cs="Arial"/>
          <w:sz w:val="22"/>
          <w:szCs w:val="22"/>
        </w:rPr>
        <w:t xml:space="preserve"> en el que le será asignado un número de referencia para el seguimiento correspondiente. </w:t>
      </w:r>
    </w:p>
    <w:p w14:paraId="6D94BC72" w14:textId="77777777" w:rsidR="00BF2651" w:rsidRPr="00BF2651" w:rsidRDefault="00BF2651" w:rsidP="00014A2D">
      <w:pPr>
        <w:spacing w:line="23" w:lineRule="atLeast"/>
        <w:jc w:val="both"/>
        <w:rPr>
          <w:rFonts w:ascii="Arial" w:hAnsi="Arial" w:cs="Arial"/>
          <w:sz w:val="22"/>
          <w:szCs w:val="22"/>
        </w:rPr>
      </w:pPr>
    </w:p>
    <w:p w14:paraId="7E0E4B49" w14:textId="77777777" w:rsidR="00BF2651" w:rsidRPr="00BF2651" w:rsidRDefault="00BF2651" w:rsidP="00EA39A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El proceso de Adquisiciones únicamente realizará caducos de sobrantes de pedido debidamente identificados y justificados con el aporte de la evidencia que se considere necesaria. </w:t>
      </w:r>
    </w:p>
    <w:p w14:paraId="056B22B0" w14:textId="77777777" w:rsidR="00BF2651" w:rsidRPr="00BF2651" w:rsidRDefault="00BF2651" w:rsidP="00014A2D">
      <w:pPr>
        <w:spacing w:line="23" w:lineRule="atLeast"/>
        <w:jc w:val="both"/>
        <w:rPr>
          <w:rFonts w:ascii="Arial" w:hAnsi="Arial" w:cs="Arial"/>
          <w:sz w:val="22"/>
          <w:szCs w:val="22"/>
        </w:rPr>
      </w:pPr>
    </w:p>
    <w:p w14:paraId="7A1E7474" w14:textId="26C916EA" w:rsidR="00FA1D82" w:rsidRDefault="00BF2651" w:rsidP="00EA39A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No se atenderán solicitudes que indiquen solamente que el caduco se requiere para devolver el saldo al disponible. </w:t>
      </w:r>
    </w:p>
    <w:p w14:paraId="607098D2" w14:textId="77777777" w:rsidR="00FA1D82" w:rsidRPr="00FA1D82" w:rsidRDefault="00FA1D82" w:rsidP="00FA1D82">
      <w:pPr>
        <w:pStyle w:val="Prrafodelista"/>
        <w:rPr>
          <w:rFonts w:ascii="Arial" w:hAnsi="Arial" w:cs="Arial"/>
          <w:sz w:val="22"/>
          <w:szCs w:val="22"/>
        </w:rPr>
      </w:pPr>
    </w:p>
    <w:p w14:paraId="5AA3A1CE" w14:textId="77777777" w:rsidR="00BF2651" w:rsidRPr="00BF2651" w:rsidRDefault="00BF2651" w:rsidP="00EA39A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Se recuerda que cada oficina es responsable de su presupuesto, por lo que se entiende que las solicitudes que ingresan han sido cuidadosamente analizadas y verificadas, de </w:t>
      </w:r>
      <w:r w:rsidRPr="00BF2651">
        <w:rPr>
          <w:rFonts w:ascii="Arial" w:hAnsi="Arial" w:cs="Arial"/>
          <w:sz w:val="22"/>
          <w:szCs w:val="22"/>
        </w:rPr>
        <w:lastRenderedPageBreak/>
        <w:t>modo que los montos que se soliciten caducar debe</w:t>
      </w:r>
      <w:r w:rsidR="00FA1D82">
        <w:rPr>
          <w:rFonts w:ascii="Arial" w:hAnsi="Arial" w:cs="Arial"/>
          <w:sz w:val="22"/>
          <w:szCs w:val="22"/>
        </w:rPr>
        <w:t>rá</w:t>
      </w:r>
      <w:r w:rsidRPr="00BF2651">
        <w:rPr>
          <w:rFonts w:ascii="Arial" w:hAnsi="Arial" w:cs="Arial"/>
          <w:sz w:val="22"/>
          <w:szCs w:val="22"/>
        </w:rPr>
        <w:t xml:space="preserve">n corresponder efectivamente a sobrantes de cada pedido. </w:t>
      </w:r>
    </w:p>
    <w:p w14:paraId="52833CCB" w14:textId="77777777" w:rsidR="00BF2651" w:rsidRPr="00BF2651" w:rsidRDefault="00BF2651" w:rsidP="00014A2D">
      <w:pPr>
        <w:spacing w:line="23" w:lineRule="atLeast"/>
        <w:jc w:val="both"/>
        <w:rPr>
          <w:rFonts w:ascii="Arial" w:hAnsi="Arial" w:cs="Arial"/>
          <w:sz w:val="22"/>
          <w:szCs w:val="22"/>
        </w:rPr>
      </w:pPr>
    </w:p>
    <w:p w14:paraId="0FC0133D" w14:textId="77777777" w:rsidR="00380696" w:rsidRDefault="00BF2651" w:rsidP="00EA39A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Si el pedido que se requiere caducar presenta líneas sin ejecutar, la oficina deberá gestionar lo correspondiente para presentar ante la USECP las justificaciones y evidencia sobre las razones por las cuales las líneas no fueron utilizadas y se requieren caducar</w:t>
      </w:r>
      <w:r w:rsidR="00380696">
        <w:rPr>
          <w:rFonts w:ascii="Arial" w:hAnsi="Arial" w:cs="Arial"/>
          <w:sz w:val="22"/>
          <w:szCs w:val="22"/>
        </w:rPr>
        <w:t xml:space="preserve">. </w:t>
      </w:r>
    </w:p>
    <w:p w14:paraId="56AEB651" w14:textId="77777777" w:rsidR="00380696" w:rsidRPr="00380696" w:rsidRDefault="00380696" w:rsidP="00380696">
      <w:pPr>
        <w:pStyle w:val="Prrafodelista"/>
        <w:rPr>
          <w:rFonts w:ascii="Arial" w:hAnsi="Arial" w:cs="Arial"/>
          <w:sz w:val="22"/>
          <w:szCs w:val="22"/>
        </w:rPr>
      </w:pPr>
    </w:p>
    <w:p w14:paraId="0795333F" w14:textId="77777777" w:rsidR="00BF2651" w:rsidRPr="00BF2651" w:rsidRDefault="00380696" w:rsidP="00380696">
      <w:pPr>
        <w:pStyle w:val="Prrafodelista"/>
        <w:spacing w:line="23" w:lineRule="atLeast"/>
        <w:ind w:left="426"/>
        <w:jc w:val="both"/>
        <w:rPr>
          <w:rFonts w:ascii="Arial" w:hAnsi="Arial" w:cs="Arial"/>
          <w:sz w:val="22"/>
          <w:szCs w:val="22"/>
        </w:rPr>
      </w:pPr>
      <w:r>
        <w:rPr>
          <w:rFonts w:ascii="Arial" w:hAnsi="Arial" w:cs="Arial"/>
          <w:sz w:val="22"/>
          <w:szCs w:val="22"/>
        </w:rPr>
        <w:t>Por lo que</w:t>
      </w:r>
      <w:r w:rsidR="00BF2651" w:rsidRPr="00BF2651">
        <w:rPr>
          <w:rFonts w:ascii="Arial" w:hAnsi="Arial" w:cs="Arial"/>
          <w:sz w:val="22"/>
          <w:szCs w:val="22"/>
        </w:rPr>
        <w:t xml:space="preserve"> una vez aportada la justificación indicada se procederá a ejecutar el caduco </w:t>
      </w:r>
      <w:r w:rsidR="00BF2651" w:rsidRPr="00380696">
        <w:rPr>
          <w:rFonts w:ascii="Arial" w:hAnsi="Arial" w:cs="Arial"/>
          <w:sz w:val="22"/>
          <w:szCs w:val="22"/>
          <w:u w:val="single"/>
        </w:rPr>
        <w:t>partiendo del principio de que el compromiso no devengado que se pretende caducar no implicará para la Institución ningún inconveniente o futuro reclamo</w:t>
      </w:r>
      <w:r w:rsidR="00BF2651" w:rsidRPr="00BF2651">
        <w:rPr>
          <w:rFonts w:ascii="Arial" w:hAnsi="Arial" w:cs="Arial"/>
          <w:sz w:val="22"/>
          <w:szCs w:val="22"/>
        </w:rPr>
        <w:t xml:space="preserve">, en virtud de que el compromiso con </w:t>
      </w:r>
      <w:r>
        <w:rPr>
          <w:rFonts w:ascii="Arial" w:hAnsi="Arial" w:cs="Arial"/>
          <w:sz w:val="22"/>
          <w:szCs w:val="22"/>
        </w:rPr>
        <w:t>la persona</w:t>
      </w:r>
      <w:r w:rsidR="00BF2651" w:rsidRPr="00BF2651">
        <w:rPr>
          <w:rFonts w:ascii="Arial" w:hAnsi="Arial" w:cs="Arial"/>
          <w:sz w:val="22"/>
          <w:szCs w:val="22"/>
        </w:rPr>
        <w:t xml:space="preserve"> contratista no se está atendiendo conforme lo acordado inicialmente. </w:t>
      </w:r>
    </w:p>
    <w:p w14:paraId="01DBA7FF" w14:textId="77777777" w:rsidR="00BF2651" w:rsidRPr="00BF2651" w:rsidRDefault="00BF2651" w:rsidP="00014A2D">
      <w:pPr>
        <w:spacing w:line="23" w:lineRule="atLeast"/>
        <w:jc w:val="both"/>
        <w:rPr>
          <w:rFonts w:ascii="Arial" w:hAnsi="Arial" w:cs="Arial"/>
          <w:sz w:val="22"/>
          <w:szCs w:val="22"/>
        </w:rPr>
      </w:pPr>
    </w:p>
    <w:p w14:paraId="1046D43C" w14:textId="77777777" w:rsidR="005C1C08" w:rsidRDefault="00BF2651" w:rsidP="00980475">
      <w:pPr>
        <w:spacing w:line="23" w:lineRule="atLeast"/>
        <w:ind w:left="426"/>
        <w:jc w:val="both"/>
        <w:rPr>
          <w:rFonts w:ascii="Arial" w:hAnsi="Arial" w:cs="Arial"/>
          <w:sz w:val="22"/>
          <w:szCs w:val="22"/>
        </w:rPr>
      </w:pPr>
      <w:r w:rsidRPr="00BF2651">
        <w:rPr>
          <w:rFonts w:ascii="Arial" w:hAnsi="Arial" w:cs="Arial"/>
          <w:sz w:val="22"/>
          <w:szCs w:val="22"/>
        </w:rPr>
        <w:t>Deberá por su parte la oficina responsable gestionar con la contratista y /o con el Subproceso de Verificación y Ejecución Contractual lo correspondiente para dejar sin efecto la contratación o las líneas que correspondan, considerando para esto todos los efectos legales y presupuestarios que esto podría acarrear, pues el Poder Judicial adquirió un compromiso de pago con la contratista, y a su vez, la contratista una expectativa de negocio.</w:t>
      </w:r>
      <w:r w:rsidR="00B541E3">
        <w:rPr>
          <w:rFonts w:ascii="Arial" w:hAnsi="Arial" w:cs="Arial"/>
          <w:sz w:val="22"/>
          <w:szCs w:val="22"/>
        </w:rPr>
        <w:t xml:space="preserve"> </w:t>
      </w:r>
    </w:p>
    <w:p w14:paraId="16C63386" w14:textId="77777777" w:rsidR="005C1C08" w:rsidRDefault="005C1C08" w:rsidP="00980475">
      <w:pPr>
        <w:spacing w:line="23" w:lineRule="atLeast"/>
        <w:ind w:left="426"/>
        <w:jc w:val="both"/>
        <w:rPr>
          <w:rFonts w:ascii="Arial" w:hAnsi="Arial" w:cs="Arial"/>
          <w:sz w:val="22"/>
          <w:szCs w:val="22"/>
        </w:rPr>
      </w:pPr>
    </w:p>
    <w:p w14:paraId="62C88646" w14:textId="53EC2E80" w:rsidR="00BF2651" w:rsidRPr="00BF2651" w:rsidRDefault="00DC6BFF" w:rsidP="00980475">
      <w:pPr>
        <w:spacing w:line="23" w:lineRule="atLeast"/>
        <w:ind w:left="426"/>
        <w:jc w:val="both"/>
        <w:rPr>
          <w:rFonts w:ascii="Arial" w:hAnsi="Arial" w:cs="Arial"/>
          <w:sz w:val="22"/>
          <w:szCs w:val="22"/>
        </w:rPr>
      </w:pPr>
      <w:r>
        <w:rPr>
          <w:rFonts w:ascii="Arial" w:hAnsi="Arial" w:cs="Arial"/>
          <w:sz w:val="22"/>
          <w:szCs w:val="22"/>
        </w:rPr>
        <w:t>En el mismo sentido</w:t>
      </w:r>
      <w:r w:rsidR="00DB258C">
        <w:rPr>
          <w:rFonts w:ascii="Arial" w:hAnsi="Arial" w:cs="Arial"/>
          <w:sz w:val="22"/>
          <w:szCs w:val="22"/>
        </w:rPr>
        <w:t xml:space="preserve">, </w:t>
      </w:r>
      <w:r w:rsidR="005478D6">
        <w:rPr>
          <w:rFonts w:ascii="Arial" w:hAnsi="Arial" w:cs="Arial"/>
          <w:sz w:val="22"/>
          <w:szCs w:val="22"/>
        </w:rPr>
        <w:t>cada oficina deberá respald</w:t>
      </w:r>
      <w:r w:rsidR="00EA57DB">
        <w:rPr>
          <w:rFonts w:ascii="Arial" w:hAnsi="Arial" w:cs="Arial"/>
          <w:sz w:val="22"/>
          <w:szCs w:val="22"/>
        </w:rPr>
        <w:t>ar</w:t>
      </w:r>
      <w:r w:rsidR="005478D6">
        <w:rPr>
          <w:rFonts w:ascii="Arial" w:hAnsi="Arial" w:cs="Arial"/>
          <w:sz w:val="22"/>
          <w:szCs w:val="22"/>
        </w:rPr>
        <w:t xml:space="preserve"> y </w:t>
      </w:r>
      <w:r w:rsidR="00DF1FAE">
        <w:rPr>
          <w:rFonts w:ascii="Arial" w:hAnsi="Arial" w:cs="Arial"/>
          <w:sz w:val="22"/>
          <w:szCs w:val="22"/>
        </w:rPr>
        <w:t>justifica</w:t>
      </w:r>
      <w:r w:rsidR="00EA57DB">
        <w:rPr>
          <w:rFonts w:ascii="Arial" w:hAnsi="Arial" w:cs="Arial"/>
          <w:sz w:val="22"/>
          <w:szCs w:val="22"/>
        </w:rPr>
        <w:t>r ampliamente</w:t>
      </w:r>
      <w:r w:rsidR="005478D6">
        <w:rPr>
          <w:rFonts w:ascii="Arial" w:hAnsi="Arial" w:cs="Arial"/>
          <w:sz w:val="22"/>
          <w:szCs w:val="22"/>
        </w:rPr>
        <w:t xml:space="preserve"> </w:t>
      </w:r>
      <w:r>
        <w:rPr>
          <w:rFonts w:ascii="Arial" w:hAnsi="Arial" w:cs="Arial"/>
          <w:sz w:val="22"/>
          <w:szCs w:val="22"/>
        </w:rPr>
        <w:t>toda</w:t>
      </w:r>
      <w:r w:rsidR="00C92842">
        <w:rPr>
          <w:rFonts w:ascii="Arial" w:hAnsi="Arial" w:cs="Arial"/>
          <w:sz w:val="22"/>
          <w:szCs w:val="22"/>
        </w:rPr>
        <w:t xml:space="preserve"> solicitud</w:t>
      </w:r>
      <w:r w:rsidR="007F5B32">
        <w:rPr>
          <w:rFonts w:ascii="Arial" w:hAnsi="Arial" w:cs="Arial"/>
          <w:sz w:val="22"/>
          <w:szCs w:val="22"/>
        </w:rPr>
        <w:t xml:space="preserve"> de caducos parciales, o sea, cuando </w:t>
      </w:r>
      <w:r w:rsidR="006D7CCB">
        <w:rPr>
          <w:rFonts w:ascii="Arial" w:hAnsi="Arial" w:cs="Arial"/>
          <w:sz w:val="22"/>
          <w:szCs w:val="22"/>
        </w:rPr>
        <w:t xml:space="preserve">esta </w:t>
      </w:r>
      <w:r w:rsidR="00DF1FAE">
        <w:rPr>
          <w:rFonts w:ascii="Arial" w:hAnsi="Arial" w:cs="Arial"/>
          <w:sz w:val="22"/>
          <w:szCs w:val="22"/>
        </w:rPr>
        <w:t>requ</w:t>
      </w:r>
      <w:r w:rsidR="00DB258C">
        <w:rPr>
          <w:rFonts w:ascii="Arial" w:hAnsi="Arial" w:cs="Arial"/>
          <w:sz w:val="22"/>
          <w:szCs w:val="22"/>
        </w:rPr>
        <w:t>iera</w:t>
      </w:r>
      <w:r w:rsidR="007F5B32">
        <w:rPr>
          <w:rFonts w:ascii="Arial" w:hAnsi="Arial" w:cs="Arial"/>
          <w:sz w:val="22"/>
          <w:szCs w:val="22"/>
        </w:rPr>
        <w:t xml:space="preserve"> </w:t>
      </w:r>
      <w:r w:rsidR="00AE5530">
        <w:rPr>
          <w:rFonts w:ascii="Arial" w:hAnsi="Arial" w:cs="Arial"/>
          <w:sz w:val="22"/>
          <w:szCs w:val="22"/>
        </w:rPr>
        <w:t xml:space="preserve">que se caduque </w:t>
      </w:r>
      <w:r w:rsidR="006D7CCB">
        <w:rPr>
          <w:rFonts w:ascii="Arial" w:hAnsi="Arial" w:cs="Arial"/>
          <w:sz w:val="22"/>
          <w:szCs w:val="22"/>
        </w:rPr>
        <w:t xml:space="preserve">solo </w:t>
      </w:r>
      <w:r w:rsidR="00AE5530">
        <w:rPr>
          <w:rFonts w:ascii="Arial" w:hAnsi="Arial" w:cs="Arial"/>
          <w:sz w:val="22"/>
          <w:szCs w:val="22"/>
        </w:rPr>
        <w:t xml:space="preserve">una parte del monto total </w:t>
      </w:r>
      <w:r w:rsidR="00DF1FAE">
        <w:rPr>
          <w:rFonts w:ascii="Arial" w:hAnsi="Arial" w:cs="Arial"/>
          <w:sz w:val="22"/>
          <w:szCs w:val="22"/>
        </w:rPr>
        <w:t>adjudicad</w:t>
      </w:r>
      <w:r w:rsidR="005478D6">
        <w:rPr>
          <w:rFonts w:ascii="Arial" w:hAnsi="Arial" w:cs="Arial"/>
          <w:sz w:val="22"/>
          <w:szCs w:val="22"/>
        </w:rPr>
        <w:t>o</w:t>
      </w:r>
      <w:r w:rsidR="003251CF">
        <w:rPr>
          <w:rFonts w:ascii="Arial" w:hAnsi="Arial" w:cs="Arial"/>
          <w:sz w:val="22"/>
          <w:szCs w:val="22"/>
        </w:rPr>
        <w:t xml:space="preserve">, ya sea </w:t>
      </w:r>
      <w:r w:rsidR="00F07339">
        <w:rPr>
          <w:rFonts w:ascii="Arial" w:hAnsi="Arial" w:cs="Arial"/>
          <w:sz w:val="22"/>
          <w:szCs w:val="22"/>
        </w:rPr>
        <w:t xml:space="preserve">de </w:t>
      </w:r>
      <w:r w:rsidR="0000656E">
        <w:rPr>
          <w:rFonts w:ascii="Arial" w:hAnsi="Arial" w:cs="Arial"/>
          <w:sz w:val="22"/>
          <w:szCs w:val="22"/>
        </w:rPr>
        <w:t>un</w:t>
      </w:r>
      <w:r w:rsidR="00F07339">
        <w:rPr>
          <w:rFonts w:ascii="Arial" w:hAnsi="Arial" w:cs="Arial"/>
          <w:sz w:val="22"/>
          <w:szCs w:val="22"/>
        </w:rPr>
        <w:t>a</w:t>
      </w:r>
      <w:r w:rsidR="003251CF">
        <w:rPr>
          <w:rFonts w:ascii="Arial" w:hAnsi="Arial" w:cs="Arial"/>
          <w:sz w:val="22"/>
          <w:szCs w:val="22"/>
        </w:rPr>
        <w:t xml:space="preserve"> línea</w:t>
      </w:r>
      <w:r w:rsidR="0000656E">
        <w:rPr>
          <w:rFonts w:ascii="Arial" w:hAnsi="Arial" w:cs="Arial"/>
          <w:sz w:val="22"/>
          <w:szCs w:val="22"/>
        </w:rPr>
        <w:t xml:space="preserve"> en </w:t>
      </w:r>
      <w:r w:rsidR="00846C1D">
        <w:rPr>
          <w:rFonts w:ascii="Arial" w:hAnsi="Arial" w:cs="Arial"/>
          <w:sz w:val="22"/>
          <w:szCs w:val="22"/>
        </w:rPr>
        <w:t>específico o, bien</w:t>
      </w:r>
      <w:r w:rsidR="003251CF">
        <w:rPr>
          <w:rFonts w:ascii="Arial" w:hAnsi="Arial" w:cs="Arial"/>
          <w:sz w:val="22"/>
          <w:szCs w:val="22"/>
        </w:rPr>
        <w:t xml:space="preserve"> del pedido cuando este esté com</w:t>
      </w:r>
      <w:r w:rsidR="00F07339">
        <w:rPr>
          <w:rFonts w:ascii="Arial" w:hAnsi="Arial" w:cs="Arial"/>
          <w:sz w:val="22"/>
          <w:szCs w:val="22"/>
        </w:rPr>
        <w:t xml:space="preserve">puesto por una única línea. </w:t>
      </w:r>
      <w:r w:rsidR="00AE5530">
        <w:rPr>
          <w:rFonts w:ascii="Arial" w:hAnsi="Arial" w:cs="Arial"/>
          <w:sz w:val="22"/>
          <w:szCs w:val="22"/>
        </w:rPr>
        <w:t xml:space="preserve"> </w:t>
      </w:r>
      <w:r w:rsidR="007F5B32">
        <w:rPr>
          <w:rFonts w:ascii="Arial" w:hAnsi="Arial" w:cs="Arial"/>
          <w:sz w:val="22"/>
          <w:szCs w:val="22"/>
        </w:rPr>
        <w:t xml:space="preserve"> </w:t>
      </w:r>
    </w:p>
    <w:p w14:paraId="41D424D1" w14:textId="77777777" w:rsidR="00BF2651" w:rsidRPr="00BF2651" w:rsidRDefault="00BF2651" w:rsidP="00980475">
      <w:pPr>
        <w:spacing w:line="23" w:lineRule="atLeast"/>
        <w:ind w:left="426"/>
        <w:jc w:val="both"/>
        <w:rPr>
          <w:rFonts w:ascii="Arial" w:hAnsi="Arial" w:cs="Arial"/>
          <w:sz w:val="22"/>
          <w:szCs w:val="22"/>
        </w:rPr>
      </w:pPr>
    </w:p>
    <w:p w14:paraId="02953A4D" w14:textId="77777777" w:rsidR="00BF2651" w:rsidRPr="00BF2651" w:rsidRDefault="00BF2651" w:rsidP="00980475">
      <w:pPr>
        <w:spacing w:line="23" w:lineRule="atLeast"/>
        <w:ind w:left="426"/>
        <w:jc w:val="both"/>
        <w:rPr>
          <w:rFonts w:ascii="Arial" w:hAnsi="Arial" w:cs="Arial"/>
          <w:sz w:val="22"/>
          <w:szCs w:val="22"/>
        </w:rPr>
      </w:pPr>
      <w:r w:rsidRPr="00BF2651">
        <w:rPr>
          <w:rFonts w:ascii="Arial" w:hAnsi="Arial" w:cs="Arial"/>
          <w:sz w:val="22"/>
          <w:szCs w:val="22"/>
        </w:rPr>
        <w:t>La responsabilidad por los reclamos futuros que puedan presentarse al solicitar estos caducos, es 100% de la oficina usuaria y no del Proceso de Adquisiciones, por lo que cuando se soliciten estos trámites, es necesario que se disponga de una justificación de peso y de las evidencias respectivas por parte de la contratista, a efectos de evitar futuros inconvenientes.</w:t>
      </w:r>
    </w:p>
    <w:p w14:paraId="31EA3D51" w14:textId="77777777" w:rsidR="00BF2651" w:rsidRPr="00BF2651" w:rsidRDefault="00BF2651" w:rsidP="00014A2D">
      <w:pPr>
        <w:spacing w:line="23" w:lineRule="atLeast"/>
        <w:jc w:val="both"/>
        <w:rPr>
          <w:rFonts w:ascii="Arial" w:hAnsi="Arial" w:cs="Arial"/>
          <w:sz w:val="22"/>
          <w:szCs w:val="22"/>
        </w:rPr>
      </w:pPr>
    </w:p>
    <w:p w14:paraId="023F1FC1" w14:textId="77777777" w:rsidR="00BF2651" w:rsidRPr="00BF2651" w:rsidRDefault="00BF2651" w:rsidP="00980475">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Previo a realizar la gestión del caduco la oficina deberá revisar en</w:t>
      </w:r>
      <w:r w:rsidR="00156AAA">
        <w:rPr>
          <w:rFonts w:ascii="Arial" w:hAnsi="Arial" w:cs="Arial"/>
          <w:sz w:val="22"/>
          <w:szCs w:val="22"/>
        </w:rPr>
        <w:t xml:space="preserve"> el SIGA-PJ</w:t>
      </w:r>
      <w:r w:rsidRPr="00BF2651">
        <w:rPr>
          <w:rFonts w:ascii="Arial" w:hAnsi="Arial" w:cs="Arial"/>
          <w:sz w:val="22"/>
          <w:szCs w:val="22"/>
        </w:rPr>
        <w:t xml:space="preserve"> el reporte del “Disponible Presupuestario para Actas” y verificar los datos de los montos disponibles y por caducar.</w:t>
      </w:r>
    </w:p>
    <w:p w14:paraId="4AB1D2A1" w14:textId="77777777" w:rsidR="00BF2651" w:rsidRPr="00BF2651" w:rsidRDefault="00BF2651" w:rsidP="00014A2D">
      <w:pPr>
        <w:spacing w:line="23" w:lineRule="atLeast"/>
        <w:jc w:val="both"/>
        <w:rPr>
          <w:rFonts w:ascii="Arial" w:hAnsi="Arial" w:cs="Arial"/>
          <w:sz w:val="22"/>
          <w:szCs w:val="22"/>
        </w:rPr>
      </w:pPr>
    </w:p>
    <w:p w14:paraId="22EA4814" w14:textId="77777777" w:rsidR="00BF2651" w:rsidRPr="00BF2651" w:rsidRDefault="00BF2651" w:rsidP="00980475">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En caso de que el pedido presente saldos incongruentes en el reporte del “Disponible Presupuestario para Actas” la oficina deberá realizar el reporte ante el Subproceso de Gestión Administrativa y Desarrollo y una vez que se les haya informado sobre la corrección de la estructura del pedido, podrá proceder con el reporte </w:t>
      </w:r>
      <w:r w:rsidR="00452CC8">
        <w:rPr>
          <w:rFonts w:ascii="Arial" w:hAnsi="Arial" w:cs="Arial"/>
          <w:sz w:val="22"/>
          <w:szCs w:val="22"/>
        </w:rPr>
        <w:t xml:space="preserve">para la aplicación del caduco </w:t>
      </w:r>
      <w:r w:rsidRPr="00BF2651">
        <w:rPr>
          <w:rFonts w:ascii="Arial" w:hAnsi="Arial" w:cs="Arial"/>
          <w:sz w:val="22"/>
          <w:szCs w:val="22"/>
        </w:rPr>
        <w:t>correspondiente ante la USECP.</w:t>
      </w:r>
    </w:p>
    <w:p w14:paraId="10DBECBA" w14:textId="77777777" w:rsidR="00BF2651" w:rsidRPr="00BF2651" w:rsidRDefault="00BF2651" w:rsidP="00014A2D">
      <w:pPr>
        <w:spacing w:line="23" w:lineRule="atLeast"/>
        <w:jc w:val="both"/>
        <w:rPr>
          <w:rFonts w:ascii="Arial" w:hAnsi="Arial" w:cs="Arial"/>
          <w:sz w:val="22"/>
          <w:szCs w:val="22"/>
        </w:rPr>
      </w:pPr>
    </w:p>
    <w:p w14:paraId="60155DA8" w14:textId="77777777" w:rsidR="00BF2651" w:rsidRDefault="00BF2651" w:rsidP="00980475">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lastRenderedPageBreak/>
        <w:t>La USECP únicamente confeccionará caducos de pedidos de contrataciones ordinarias, o bien todos aquellos pedidos cuya Área Tramitadora sea “</w:t>
      </w:r>
      <w:r w:rsidRPr="0053496E">
        <w:rPr>
          <w:rFonts w:ascii="Arial" w:hAnsi="Arial" w:cs="Arial"/>
          <w:b/>
          <w:bCs/>
          <w:sz w:val="22"/>
          <w:szCs w:val="22"/>
        </w:rPr>
        <w:t>Licitaciones Proveeduría”:</w:t>
      </w:r>
      <w:r w:rsidRPr="00BF2651">
        <w:rPr>
          <w:rFonts w:ascii="Arial" w:hAnsi="Arial" w:cs="Arial"/>
          <w:sz w:val="22"/>
          <w:szCs w:val="22"/>
        </w:rPr>
        <w:t xml:space="preserve"> </w:t>
      </w:r>
    </w:p>
    <w:p w14:paraId="486224EA" w14:textId="77777777" w:rsidR="00937905" w:rsidRPr="00937905" w:rsidRDefault="00937905" w:rsidP="00937905">
      <w:pPr>
        <w:spacing w:line="23" w:lineRule="atLeast"/>
        <w:jc w:val="both"/>
        <w:rPr>
          <w:rFonts w:ascii="Arial" w:hAnsi="Arial" w:cs="Arial"/>
          <w:sz w:val="22"/>
          <w:szCs w:val="22"/>
        </w:rPr>
      </w:pPr>
    </w:p>
    <w:p w14:paraId="165E3E60" w14:textId="77777777" w:rsidR="00980475" w:rsidRPr="00BF2651" w:rsidRDefault="0053496E" w:rsidP="0053496E">
      <w:pPr>
        <w:spacing w:line="23" w:lineRule="atLeast"/>
        <w:jc w:val="center"/>
        <w:rPr>
          <w:rFonts w:ascii="Arial" w:hAnsi="Arial" w:cs="Arial"/>
          <w:sz w:val="22"/>
          <w:szCs w:val="22"/>
        </w:rPr>
      </w:pPr>
      <w:r>
        <w:rPr>
          <w:rFonts w:ascii="Arial" w:hAnsi="Arial" w:cs="Arial"/>
          <w:noProof/>
          <w:sz w:val="22"/>
          <w:szCs w:val="22"/>
        </w:rPr>
        <w:drawing>
          <wp:inline distT="0" distB="0" distL="0" distR="0" wp14:anchorId="64F9ECBE" wp14:editId="22C84336">
            <wp:extent cx="2908300" cy="585470"/>
            <wp:effectExtent l="0" t="0" r="6350" b="5080"/>
            <wp:docPr id="645553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0" cy="585470"/>
                    </a:xfrm>
                    <a:prstGeom prst="rect">
                      <a:avLst/>
                    </a:prstGeom>
                    <a:noFill/>
                  </pic:spPr>
                </pic:pic>
              </a:graphicData>
            </a:graphic>
          </wp:inline>
        </w:drawing>
      </w:r>
    </w:p>
    <w:p w14:paraId="388BB873" w14:textId="77777777" w:rsidR="00BF2651" w:rsidRPr="00BF2651" w:rsidRDefault="00BF2651" w:rsidP="00014A2D">
      <w:pPr>
        <w:spacing w:line="23" w:lineRule="atLeast"/>
        <w:jc w:val="both"/>
        <w:rPr>
          <w:rFonts w:ascii="Arial" w:hAnsi="Arial" w:cs="Arial"/>
          <w:sz w:val="22"/>
          <w:szCs w:val="22"/>
        </w:rPr>
      </w:pPr>
      <w:r w:rsidRPr="00BF2651">
        <w:rPr>
          <w:rFonts w:ascii="Arial" w:hAnsi="Arial" w:cs="Arial"/>
          <w:sz w:val="22"/>
          <w:szCs w:val="22"/>
        </w:rPr>
        <w:t xml:space="preserve"> </w:t>
      </w:r>
    </w:p>
    <w:p w14:paraId="632FE9DE" w14:textId="77777777" w:rsidR="00BF2651" w:rsidRPr="00BF2651" w:rsidRDefault="00BF2651" w:rsidP="0053496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Las Administraciones Regionales deberán caducar los pedidos </w:t>
      </w:r>
      <w:r w:rsidR="00901E1A">
        <w:rPr>
          <w:rFonts w:ascii="Arial" w:hAnsi="Arial" w:cs="Arial"/>
          <w:sz w:val="22"/>
          <w:szCs w:val="22"/>
        </w:rPr>
        <w:t xml:space="preserve">que fueron </w:t>
      </w:r>
      <w:r w:rsidRPr="00BF2651">
        <w:rPr>
          <w:rFonts w:ascii="Arial" w:hAnsi="Arial" w:cs="Arial"/>
          <w:sz w:val="22"/>
          <w:szCs w:val="22"/>
        </w:rPr>
        <w:t>emitidos por e</w:t>
      </w:r>
      <w:r w:rsidR="00901E1A">
        <w:rPr>
          <w:rFonts w:ascii="Arial" w:hAnsi="Arial" w:cs="Arial"/>
          <w:sz w:val="22"/>
          <w:szCs w:val="22"/>
        </w:rPr>
        <w:t>st</w:t>
      </w:r>
      <w:r w:rsidRPr="00BF2651">
        <w:rPr>
          <w:rFonts w:ascii="Arial" w:hAnsi="Arial" w:cs="Arial"/>
          <w:sz w:val="22"/>
          <w:szCs w:val="22"/>
        </w:rPr>
        <w:t>as</w:t>
      </w:r>
      <w:r w:rsidR="00452CC8">
        <w:rPr>
          <w:rFonts w:ascii="Arial" w:hAnsi="Arial" w:cs="Arial"/>
          <w:sz w:val="22"/>
          <w:szCs w:val="22"/>
        </w:rPr>
        <w:t>, por lo que se aclara que</w:t>
      </w:r>
      <w:r w:rsidR="005B0B12">
        <w:rPr>
          <w:rFonts w:ascii="Arial" w:hAnsi="Arial" w:cs="Arial"/>
          <w:sz w:val="22"/>
          <w:szCs w:val="22"/>
        </w:rPr>
        <w:t>,</w:t>
      </w:r>
      <w:r w:rsidR="00452CC8">
        <w:rPr>
          <w:rFonts w:ascii="Arial" w:hAnsi="Arial" w:cs="Arial"/>
          <w:sz w:val="22"/>
          <w:szCs w:val="22"/>
        </w:rPr>
        <w:t xml:space="preserve"> aunque correspondan a pedidos de compromisos no devengados el Proceso de Adquisiciones no asumirá el caduco de estos pedidos</w:t>
      </w:r>
      <w:r w:rsidRPr="00BF2651">
        <w:rPr>
          <w:rFonts w:ascii="Arial" w:hAnsi="Arial" w:cs="Arial"/>
          <w:sz w:val="22"/>
          <w:szCs w:val="22"/>
        </w:rPr>
        <w:t>.</w:t>
      </w:r>
    </w:p>
    <w:p w14:paraId="402BDE89" w14:textId="77777777" w:rsidR="00BF2651" w:rsidRPr="00BF2651" w:rsidRDefault="00BF2651" w:rsidP="00014A2D">
      <w:pPr>
        <w:spacing w:line="23" w:lineRule="atLeast"/>
        <w:jc w:val="both"/>
        <w:rPr>
          <w:rFonts w:ascii="Arial" w:hAnsi="Arial" w:cs="Arial"/>
          <w:sz w:val="22"/>
          <w:szCs w:val="22"/>
        </w:rPr>
      </w:pPr>
    </w:p>
    <w:p w14:paraId="6E051565" w14:textId="77777777" w:rsidR="00BF2651" w:rsidRDefault="00BF2651" w:rsidP="0053496E">
      <w:pPr>
        <w:pStyle w:val="Prrafodelista"/>
        <w:numPr>
          <w:ilvl w:val="0"/>
          <w:numId w:val="30"/>
        </w:numPr>
        <w:spacing w:line="23" w:lineRule="atLeast"/>
        <w:ind w:left="426" w:hanging="425"/>
        <w:jc w:val="both"/>
        <w:rPr>
          <w:rFonts w:ascii="Arial" w:hAnsi="Arial" w:cs="Arial"/>
          <w:sz w:val="22"/>
          <w:szCs w:val="22"/>
        </w:rPr>
      </w:pPr>
      <w:r w:rsidRPr="00BF2651">
        <w:rPr>
          <w:rFonts w:ascii="Arial" w:hAnsi="Arial" w:cs="Arial"/>
          <w:sz w:val="22"/>
          <w:szCs w:val="22"/>
        </w:rPr>
        <w:t xml:space="preserve">Es importante recordar que los caducos de pedidos correspondientes </w:t>
      </w:r>
      <w:bookmarkStart w:id="0" w:name="_Hlk162986708"/>
      <w:r w:rsidRPr="00BF2651">
        <w:rPr>
          <w:rFonts w:ascii="Arial" w:hAnsi="Arial" w:cs="Arial"/>
          <w:sz w:val="22"/>
          <w:szCs w:val="22"/>
        </w:rPr>
        <w:t>a servicios continuados, o bien todos aquellos pedidos tramitados por el área de “Contratos Proveeduría”</w:t>
      </w:r>
      <w:bookmarkEnd w:id="0"/>
      <w:r w:rsidRPr="00BF2651">
        <w:rPr>
          <w:rFonts w:ascii="Arial" w:hAnsi="Arial" w:cs="Arial"/>
          <w:sz w:val="22"/>
          <w:szCs w:val="22"/>
        </w:rPr>
        <w:t xml:space="preserve"> serán generados por el Subproceso de Gestión Administrativa y Desarrollo (SGAD), mediante el reporte respectivo, conforme lo señalado en la circular </w:t>
      </w:r>
      <w:r w:rsidR="005E010C">
        <w:rPr>
          <w:rFonts w:ascii="Arial" w:hAnsi="Arial" w:cs="Arial"/>
          <w:sz w:val="22"/>
          <w:szCs w:val="22"/>
        </w:rPr>
        <w:t xml:space="preserve">N° </w:t>
      </w:r>
      <w:r w:rsidRPr="00BF2651">
        <w:rPr>
          <w:rFonts w:ascii="Arial" w:hAnsi="Arial" w:cs="Arial"/>
          <w:sz w:val="22"/>
          <w:szCs w:val="22"/>
        </w:rPr>
        <w:t xml:space="preserve">013-2023 </w:t>
      </w:r>
      <w:r w:rsidR="005E010C">
        <w:rPr>
          <w:rFonts w:ascii="Arial" w:hAnsi="Arial" w:cs="Arial"/>
          <w:sz w:val="22"/>
          <w:szCs w:val="22"/>
        </w:rPr>
        <w:t>“</w:t>
      </w:r>
      <w:r w:rsidRPr="00BF2651">
        <w:rPr>
          <w:rFonts w:ascii="Arial" w:hAnsi="Arial" w:cs="Arial"/>
          <w:sz w:val="22"/>
          <w:szCs w:val="22"/>
        </w:rPr>
        <w:t>Procedimiento para solicitar el trámite de caducos pedidos correspondientes a contratos según demanda y pedidos de primer año</w:t>
      </w:r>
      <w:r w:rsidR="005E010C">
        <w:rPr>
          <w:rFonts w:ascii="Arial" w:hAnsi="Arial" w:cs="Arial"/>
          <w:sz w:val="22"/>
          <w:szCs w:val="22"/>
        </w:rPr>
        <w:t>”</w:t>
      </w:r>
      <w:r w:rsidRPr="00BF2651">
        <w:rPr>
          <w:rFonts w:ascii="Arial" w:hAnsi="Arial" w:cs="Arial"/>
          <w:sz w:val="22"/>
          <w:szCs w:val="22"/>
        </w:rPr>
        <w:t xml:space="preserve">. </w:t>
      </w:r>
    </w:p>
    <w:p w14:paraId="5412A58C" w14:textId="77777777" w:rsidR="00705CCA" w:rsidRPr="00BF2651" w:rsidRDefault="00705CCA" w:rsidP="00705CCA">
      <w:pPr>
        <w:pStyle w:val="Prrafodelista"/>
        <w:spacing w:line="23" w:lineRule="atLeast"/>
        <w:ind w:left="426"/>
        <w:jc w:val="both"/>
        <w:rPr>
          <w:rFonts w:ascii="Arial" w:hAnsi="Arial" w:cs="Arial"/>
          <w:sz w:val="22"/>
          <w:szCs w:val="22"/>
        </w:rPr>
      </w:pPr>
    </w:p>
    <w:p w14:paraId="6A65CE63" w14:textId="0967A8E8" w:rsidR="00BF2651" w:rsidRPr="00BF2651" w:rsidRDefault="00BF2651" w:rsidP="00014A2D">
      <w:pPr>
        <w:spacing w:line="23" w:lineRule="atLeast"/>
        <w:jc w:val="both"/>
        <w:rPr>
          <w:rFonts w:ascii="Arial" w:hAnsi="Arial" w:cs="Arial"/>
          <w:sz w:val="22"/>
          <w:szCs w:val="22"/>
        </w:rPr>
      </w:pPr>
      <w:r w:rsidRPr="00BF2651">
        <w:rPr>
          <w:rFonts w:ascii="Arial" w:hAnsi="Arial" w:cs="Arial"/>
          <w:sz w:val="22"/>
          <w:szCs w:val="22"/>
        </w:rPr>
        <w:t xml:space="preserve">Adicionalmente </w:t>
      </w:r>
      <w:r w:rsidR="00705CCA" w:rsidRPr="00705CCA">
        <w:rPr>
          <w:rFonts w:ascii="Arial" w:hAnsi="Arial" w:cs="Arial"/>
          <w:sz w:val="22"/>
          <w:szCs w:val="22"/>
        </w:rPr>
        <w:t xml:space="preserve">se informa que </w:t>
      </w:r>
      <w:r w:rsidR="002A4955">
        <w:rPr>
          <w:rFonts w:ascii="Arial" w:hAnsi="Arial" w:cs="Arial"/>
          <w:sz w:val="22"/>
          <w:szCs w:val="22"/>
        </w:rPr>
        <w:t xml:space="preserve">en adelante </w:t>
      </w:r>
      <w:r w:rsidR="009F5ED7">
        <w:rPr>
          <w:rFonts w:ascii="Arial" w:hAnsi="Arial" w:cs="Arial"/>
          <w:sz w:val="22"/>
          <w:szCs w:val="22"/>
        </w:rPr>
        <w:t xml:space="preserve">y </w:t>
      </w:r>
      <w:r w:rsidR="009F5ED7" w:rsidRPr="00586A4A">
        <w:rPr>
          <w:rFonts w:ascii="Arial" w:hAnsi="Arial" w:cs="Arial"/>
          <w:b/>
          <w:bCs/>
          <w:sz w:val="22"/>
          <w:szCs w:val="22"/>
          <w:u w:val="single"/>
        </w:rPr>
        <w:t xml:space="preserve">para todos los ejercicios </w:t>
      </w:r>
      <w:r w:rsidR="0007049D" w:rsidRPr="00586A4A">
        <w:rPr>
          <w:rFonts w:ascii="Arial" w:hAnsi="Arial" w:cs="Arial"/>
          <w:b/>
          <w:bCs/>
          <w:sz w:val="22"/>
          <w:szCs w:val="22"/>
          <w:u w:val="single"/>
        </w:rPr>
        <w:t>presupuestarios siguientes</w:t>
      </w:r>
      <w:r w:rsidR="0007049D">
        <w:rPr>
          <w:rFonts w:ascii="Arial" w:hAnsi="Arial" w:cs="Arial"/>
          <w:sz w:val="22"/>
          <w:szCs w:val="22"/>
        </w:rPr>
        <w:t xml:space="preserve">, </w:t>
      </w:r>
      <w:r w:rsidR="00705CCA" w:rsidRPr="00705CCA">
        <w:rPr>
          <w:rFonts w:ascii="Arial" w:hAnsi="Arial" w:cs="Arial"/>
          <w:sz w:val="22"/>
          <w:szCs w:val="22"/>
        </w:rPr>
        <w:t xml:space="preserve">todos aquellos pedidos con compromisos no devengados que cuenten con saldo </w:t>
      </w:r>
      <w:r w:rsidR="00D728F1">
        <w:rPr>
          <w:rFonts w:ascii="Arial" w:hAnsi="Arial" w:cs="Arial"/>
          <w:sz w:val="22"/>
          <w:szCs w:val="22"/>
        </w:rPr>
        <w:t>al final de</w:t>
      </w:r>
      <w:r w:rsidR="00BB40D4">
        <w:rPr>
          <w:rFonts w:ascii="Arial" w:hAnsi="Arial" w:cs="Arial"/>
          <w:sz w:val="22"/>
          <w:szCs w:val="22"/>
        </w:rPr>
        <w:t xml:space="preserve"> la segunda semana hábil de</w:t>
      </w:r>
      <w:r w:rsidR="00705CCA" w:rsidRPr="00705CCA">
        <w:rPr>
          <w:rFonts w:ascii="Arial" w:hAnsi="Arial" w:cs="Arial"/>
          <w:sz w:val="22"/>
          <w:szCs w:val="22"/>
        </w:rPr>
        <w:t xml:space="preserve"> noviembre, serán caducados sin previa consulta y se sustituirán para trasladarlos al próximo ejercicio presupuestario, por lo que cada oficina deberá brindar el debido control de sus compromisos de pago a fin de coordinar lo correspondiente para cancelar a tiempo a las contratistas y proveedores y de esta forma evitar el retraso que significará esperar la confección del nuevo </w:t>
      </w:r>
      <w:r w:rsidRPr="00BF2651">
        <w:rPr>
          <w:rFonts w:ascii="Arial" w:hAnsi="Arial" w:cs="Arial"/>
          <w:sz w:val="22"/>
          <w:szCs w:val="22"/>
        </w:rPr>
        <w:t xml:space="preserve">pedido. </w:t>
      </w:r>
    </w:p>
    <w:p w14:paraId="5EABA6B2" w14:textId="77777777" w:rsidR="00BF2651" w:rsidRPr="00BF2651" w:rsidRDefault="00BF2651" w:rsidP="00014A2D">
      <w:pPr>
        <w:spacing w:line="23" w:lineRule="atLeast"/>
        <w:jc w:val="both"/>
        <w:rPr>
          <w:rFonts w:ascii="Arial" w:hAnsi="Arial" w:cs="Arial"/>
          <w:sz w:val="22"/>
          <w:szCs w:val="22"/>
        </w:rPr>
      </w:pPr>
    </w:p>
    <w:p w14:paraId="7A26E8BB" w14:textId="77777777" w:rsidR="00F66D28" w:rsidRPr="00BF2651" w:rsidRDefault="00BF2651" w:rsidP="00014A2D">
      <w:pPr>
        <w:spacing w:line="23" w:lineRule="atLeast"/>
        <w:jc w:val="both"/>
        <w:rPr>
          <w:rFonts w:ascii="Arial" w:hAnsi="Arial" w:cs="Arial"/>
          <w:sz w:val="22"/>
          <w:szCs w:val="22"/>
        </w:rPr>
      </w:pPr>
      <w:r w:rsidRPr="00BF2651">
        <w:rPr>
          <w:rFonts w:ascii="Arial" w:hAnsi="Arial" w:cs="Arial"/>
          <w:sz w:val="22"/>
          <w:szCs w:val="22"/>
        </w:rPr>
        <w:t xml:space="preserve">Finalmente, es necesario señalar que esta Proveeduría no se hará responsable por los pedidos que se caduquen a solicitud de la oficina usuaria o por aquellos que no se sustituyan, debido a que </w:t>
      </w:r>
      <w:r w:rsidR="004517DB">
        <w:rPr>
          <w:rFonts w:ascii="Arial" w:hAnsi="Arial" w:cs="Arial"/>
          <w:sz w:val="22"/>
          <w:szCs w:val="22"/>
        </w:rPr>
        <w:t>dicha oficina</w:t>
      </w:r>
      <w:r w:rsidRPr="00BF2651">
        <w:rPr>
          <w:rFonts w:ascii="Arial" w:hAnsi="Arial" w:cs="Arial"/>
          <w:sz w:val="22"/>
          <w:szCs w:val="22"/>
        </w:rPr>
        <w:t xml:space="preserve"> es la responsable del seguimiento de cada contratación, por lo que en caso de que exista un reclamo futuro por parte de la contratista, cada oficina deberá asumir su responsabilidad y coordinar lo correspondiente para emitir el nuevo pedido en el ejercicio presupuestario que corresponda y con esto atender el eventual pago.</w:t>
      </w:r>
    </w:p>
    <w:p w14:paraId="41BB479E" w14:textId="77777777" w:rsidR="00F66D28" w:rsidRDefault="00F66D28" w:rsidP="00014A2D">
      <w:pPr>
        <w:pStyle w:val="Prrafodelista"/>
        <w:spacing w:line="23" w:lineRule="atLeast"/>
        <w:ind w:left="993" w:hanging="426"/>
        <w:jc w:val="both"/>
        <w:rPr>
          <w:rFonts w:ascii="Arial" w:hAnsi="Arial" w:cs="Arial"/>
          <w:sz w:val="22"/>
          <w:szCs w:val="22"/>
        </w:rPr>
      </w:pPr>
    </w:p>
    <w:p w14:paraId="48B751A3" w14:textId="77777777" w:rsidR="006E6A35" w:rsidRPr="00BE2967" w:rsidRDefault="006E6A35" w:rsidP="00014A2D">
      <w:pPr>
        <w:spacing w:line="23" w:lineRule="atLeast"/>
        <w:jc w:val="both"/>
        <w:rPr>
          <w:rFonts w:ascii="Arial" w:hAnsi="Arial" w:cs="Arial"/>
          <w:sz w:val="22"/>
          <w:szCs w:val="22"/>
        </w:rPr>
      </w:pPr>
      <w:r w:rsidRPr="00BE2967">
        <w:rPr>
          <w:rFonts w:ascii="Arial" w:hAnsi="Arial" w:cs="Arial"/>
          <w:sz w:val="22"/>
          <w:szCs w:val="22"/>
        </w:rPr>
        <w:t>En virtud de lo anterior, cualquier gestión que</w:t>
      </w:r>
      <w:r w:rsidR="00BE2967" w:rsidRPr="00BE2967">
        <w:rPr>
          <w:rFonts w:ascii="Arial" w:hAnsi="Arial" w:cs="Arial"/>
          <w:sz w:val="22"/>
          <w:szCs w:val="22"/>
        </w:rPr>
        <w:t xml:space="preserve"> no</w:t>
      </w:r>
      <w:r w:rsidRPr="00BE2967">
        <w:rPr>
          <w:rFonts w:ascii="Arial" w:hAnsi="Arial" w:cs="Arial"/>
          <w:sz w:val="22"/>
          <w:szCs w:val="22"/>
        </w:rPr>
        <w:t xml:space="preserve"> ingrese en </w:t>
      </w:r>
      <w:r w:rsidR="00BE2967">
        <w:rPr>
          <w:rFonts w:ascii="Arial" w:hAnsi="Arial" w:cs="Arial"/>
          <w:sz w:val="22"/>
          <w:szCs w:val="22"/>
        </w:rPr>
        <w:t>los</w:t>
      </w:r>
      <w:r w:rsidRPr="00BE2967">
        <w:rPr>
          <w:rFonts w:ascii="Arial" w:hAnsi="Arial" w:cs="Arial"/>
          <w:sz w:val="22"/>
          <w:szCs w:val="22"/>
        </w:rPr>
        <w:t xml:space="preserve"> términos </w:t>
      </w:r>
      <w:r w:rsidR="00BE2967">
        <w:rPr>
          <w:rFonts w:ascii="Arial" w:hAnsi="Arial" w:cs="Arial"/>
          <w:sz w:val="22"/>
          <w:szCs w:val="22"/>
        </w:rPr>
        <w:t xml:space="preserve">indicados en el presente documento, </w:t>
      </w:r>
      <w:r w:rsidRPr="00BE2967">
        <w:rPr>
          <w:rFonts w:ascii="Arial" w:hAnsi="Arial" w:cs="Arial"/>
          <w:sz w:val="22"/>
          <w:szCs w:val="22"/>
        </w:rPr>
        <w:t>será devuelta sin trámite.</w:t>
      </w:r>
    </w:p>
    <w:p w14:paraId="3BC3C0DE" w14:textId="77777777" w:rsidR="00054255" w:rsidRPr="009A2EBC" w:rsidRDefault="00054255" w:rsidP="00014A2D">
      <w:pPr>
        <w:pStyle w:val="Prrafodelista"/>
        <w:spacing w:line="23" w:lineRule="atLeast"/>
        <w:jc w:val="both"/>
        <w:rPr>
          <w:rFonts w:ascii="Arial" w:hAnsi="Arial" w:cs="Arial"/>
          <w:sz w:val="22"/>
          <w:szCs w:val="22"/>
          <w:u w:val="single"/>
        </w:rPr>
      </w:pPr>
    </w:p>
    <w:p w14:paraId="5FCAD8A4" w14:textId="77777777" w:rsidR="006E6A35" w:rsidRDefault="006E6A35" w:rsidP="00014A2D">
      <w:pPr>
        <w:pStyle w:val="Prrafodelista"/>
        <w:spacing w:line="23" w:lineRule="atLeast"/>
        <w:ind w:left="0"/>
        <w:jc w:val="both"/>
        <w:rPr>
          <w:rFonts w:ascii="Arial" w:hAnsi="Arial" w:cs="Arial"/>
          <w:sz w:val="22"/>
          <w:szCs w:val="22"/>
        </w:rPr>
      </w:pPr>
    </w:p>
    <w:p w14:paraId="03E5FD2C" w14:textId="77777777" w:rsidR="0024058C" w:rsidRDefault="0024058C" w:rsidP="00014A2D">
      <w:pPr>
        <w:pStyle w:val="Prrafodelista"/>
        <w:spacing w:line="23" w:lineRule="atLeast"/>
        <w:ind w:left="0"/>
        <w:jc w:val="both"/>
        <w:rPr>
          <w:rFonts w:ascii="Arial" w:hAnsi="Arial" w:cs="Arial"/>
          <w:sz w:val="22"/>
          <w:szCs w:val="22"/>
        </w:rPr>
      </w:pPr>
    </w:p>
    <w:p w14:paraId="292E428C" w14:textId="77777777" w:rsidR="004517DB" w:rsidRDefault="004517DB">
      <w:pPr>
        <w:spacing w:after="160" w:line="259" w:lineRule="auto"/>
        <w:rPr>
          <w:rFonts w:ascii="Arial" w:hAnsi="Arial" w:cs="Arial"/>
          <w:sz w:val="22"/>
          <w:szCs w:val="22"/>
        </w:rPr>
      </w:pPr>
      <w:r>
        <w:rPr>
          <w:rFonts w:ascii="Arial" w:hAnsi="Arial" w:cs="Arial"/>
          <w:sz w:val="22"/>
          <w:szCs w:val="22"/>
        </w:rPr>
        <w:br w:type="page"/>
      </w:r>
    </w:p>
    <w:p w14:paraId="6EBBCC39" w14:textId="77777777" w:rsidR="0024058C" w:rsidRDefault="0024058C" w:rsidP="00014A2D">
      <w:pPr>
        <w:pStyle w:val="Prrafodelista"/>
        <w:spacing w:line="23" w:lineRule="atLeast"/>
        <w:ind w:left="0"/>
        <w:jc w:val="both"/>
        <w:rPr>
          <w:rFonts w:ascii="Arial" w:hAnsi="Arial" w:cs="Arial"/>
          <w:sz w:val="22"/>
          <w:szCs w:val="22"/>
        </w:rPr>
      </w:pPr>
    </w:p>
    <w:p w14:paraId="35969EF8" w14:textId="77777777" w:rsidR="006E6A35" w:rsidRPr="009A2EBC" w:rsidRDefault="006E6A35" w:rsidP="00014A2D">
      <w:pPr>
        <w:spacing w:line="23" w:lineRule="atLeast"/>
        <w:jc w:val="both"/>
        <w:rPr>
          <w:rFonts w:ascii="Arial" w:hAnsi="Arial" w:cs="Arial"/>
          <w:b/>
          <w:bCs/>
          <w:sz w:val="22"/>
          <w:szCs w:val="22"/>
          <w:lang w:val="es-CR"/>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900"/>
        <w:gridCol w:w="5291"/>
      </w:tblGrid>
      <w:tr w:rsidR="00160AD8" w:rsidRPr="009A2EBC" w14:paraId="0E09A647" w14:textId="77777777" w:rsidTr="00160AD8">
        <w:trPr>
          <w:trHeight w:val="708"/>
          <w:jc w:val="center"/>
        </w:trPr>
        <w:tc>
          <w:tcPr>
            <w:tcW w:w="8830" w:type="dxa"/>
            <w:gridSpan w:val="3"/>
            <w:vAlign w:val="center"/>
          </w:tcPr>
          <w:p w14:paraId="6E5D5819" w14:textId="77777777" w:rsidR="00160AD8" w:rsidRPr="009A2EBC" w:rsidRDefault="006E6A35" w:rsidP="0024058C">
            <w:pPr>
              <w:spacing w:line="23" w:lineRule="atLeast"/>
              <w:jc w:val="center"/>
              <w:rPr>
                <w:rFonts w:ascii="Arial" w:eastAsiaTheme="minorEastAsia" w:hAnsi="Arial" w:cs="Arial"/>
                <w:b/>
                <w:bCs/>
                <w:sz w:val="22"/>
                <w:szCs w:val="22"/>
                <w:lang w:val="es-419" w:eastAsia="en-US"/>
              </w:rPr>
            </w:pPr>
            <w:r w:rsidRPr="009A2EBC">
              <w:rPr>
                <w:rFonts w:ascii="Arial" w:hAnsi="Arial" w:cs="Arial"/>
                <w:b/>
                <w:bCs/>
                <w:sz w:val="22"/>
                <w:szCs w:val="22"/>
                <w:lang w:val="es-CR"/>
              </w:rPr>
              <w:br w:type="page"/>
            </w:r>
            <w:r w:rsidR="00160AD8" w:rsidRPr="009A2EBC">
              <w:rPr>
                <w:rFonts w:ascii="Arial" w:hAnsi="Arial" w:cs="Arial"/>
                <w:b/>
                <w:bCs/>
                <w:sz w:val="22"/>
                <w:szCs w:val="22"/>
                <w:lang w:val="es-CR"/>
              </w:rPr>
              <w:br w:type="page"/>
            </w:r>
            <w:r w:rsidR="00160AD8" w:rsidRPr="009A2EBC">
              <w:rPr>
                <w:rFonts w:ascii="Arial" w:eastAsiaTheme="minorEastAsia" w:hAnsi="Arial" w:cs="Arial"/>
                <w:b/>
                <w:bCs/>
                <w:sz w:val="22"/>
                <w:szCs w:val="22"/>
                <w:lang w:val="es-419" w:eastAsia="en-US"/>
              </w:rPr>
              <w:t>ANEXOS</w:t>
            </w:r>
          </w:p>
        </w:tc>
      </w:tr>
      <w:tr w:rsidR="00160AD8" w:rsidRPr="009A2EBC" w14:paraId="62131E4F" w14:textId="77777777" w:rsidTr="00160AD8">
        <w:trPr>
          <w:trHeight w:val="1013"/>
          <w:jc w:val="center"/>
        </w:trPr>
        <w:tc>
          <w:tcPr>
            <w:tcW w:w="1639" w:type="dxa"/>
            <w:shd w:val="clear" w:color="auto" w:fill="auto"/>
            <w:vAlign w:val="center"/>
          </w:tcPr>
          <w:p w14:paraId="233CBA8D" w14:textId="77777777" w:rsidR="00160AD8" w:rsidRPr="009A2EBC" w:rsidRDefault="00160AD8" w:rsidP="0024058C">
            <w:pPr>
              <w:spacing w:line="23" w:lineRule="atLeast"/>
              <w:jc w:val="center"/>
              <w:rPr>
                <w:rFonts w:ascii="Arial" w:eastAsiaTheme="minorEastAsia" w:hAnsi="Arial" w:cs="Arial"/>
                <w:b/>
                <w:bCs/>
                <w:sz w:val="22"/>
                <w:szCs w:val="22"/>
                <w:lang w:val="es-419" w:eastAsia="en-US"/>
              </w:rPr>
            </w:pPr>
            <w:r w:rsidRPr="009A2EBC">
              <w:rPr>
                <w:rFonts w:ascii="Arial" w:eastAsiaTheme="minorEastAsia" w:hAnsi="Arial" w:cs="Arial"/>
                <w:b/>
                <w:bCs/>
                <w:sz w:val="22"/>
                <w:szCs w:val="22"/>
                <w:lang w:val="es-419" w:eastAsia="en-US"/>
              </w:rPr>
              <w:t xml:space="preserve">Anexo </w:t>
            </w:r>
            <w:r w:rsidR="00104378" w:rsidRPr="009A2EBC">
              <w:rPr>
                <w:rFonts w:ascii="Arial" w:eastAsiaTheme="minorEastAsia" w:hAnsi="Arial" w:cs="Arial"/>
                <w:b/>
                <w:bCs/>
                <w:sz w:val="22"/>
                <w:szCs w:val="22"/>
                <w:lang w:val="es-419" w:eastAsia="en-US"/>
              </w:rPr>
              <w:t xml:space="preserve">N° </w:t>
            </w:r>
            <w:r w:rsidRPr="009A2EBC">
              <w:rPr>
                <w:rFonts w:ascii="Arial" w:eastAsiaTheme="minorEastAsia" w:hAnsi="Arial" w:cs="Arial"/>
                <w:b/>
                <w:bCs/>
                <w:sz w:val="22"/>
                <w:szCs w:val="22"/>
                <w:lang w:val="es-419" w:eastAsia="en-US"/>
              </w:rPr>
              <w:t>1</w:t>
            </w:r>
          </w:p>
        </w:tc>
        <w:tc>
          <w:tcPr>
            <w:tcW w:w="1900" w:type="dxa"/>
          </w:tcPr>
          <w:p w14:paraId="6BCD7502" w14:textId="77777777" w:rsidR="00160AD8" w:rsidRPr="009A2EBC" w:rsidRDefault="00EF3DC1" w:rsidP="00BE2967">
            <w:pPr>
              <w:spacing w:line="23" w:lineRule="atLeast"/>
              <w:jc w:val="center"/>
              <w:rPr>
                <w:rFonts w:ascii="Arial" w:eastAsiaTheme="minorEastAsia" w:hAnsi="Arial" w:cs="Arial"/>
                <w:sz w:val="22"/>
                <w:szCs w:val="22"/>
                <w:lang w:val="es-419" w:eastAsia="en-US"/>
              </w:rPr>
            </w:pPr>
            <w:r>
              <w:rPr>
                <w:rFonts w:ascii="Arial" w:eastAsiaTheme="minorEastAsia" w:hAnsi="Arial" w:cs="Arial"/>
                <w:sz w:val="22"/>
                <w:szCs w:val="22"/>
                <w:lang w:val="es-419" w:eastAsia="en-US"/>
              </w:rPr>
              <w:object w:dxaOrig="1155" w:dyaOrig="752" w14:anchorId="74E9D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7.55pt" o:ole="">
                  <v:imagedata r:id="rId10" o:title=""/>
                </v:shape>
                <o:OLEObject Type="Embed" ProgID="Excel.Sheet.12" ShapeID="_x0000_i1025" DrawAspect="Icon" ObjectID="_1773656278" r:id="rId11"/>
              </w:object>
            </w:r>
          </w:p>
        </w:tc>
        <w:tc>
          <w:tcPr>
            <w:tcW w:w="5291" w:type="dxa"/>
            <w:vAlign w:val="center"/>
          </w:tcPr>
          <w:p w14:paraId="706EB498" w14:textId="77777777" w:rsidR="00160AD8" w:rsidRPr="009A2EBC" w:rsidRDefault="00160AD8" w:rsidP="00014A2D">
            <w:pPr>
              <w:spacing w:line="23" w:lineRule="atLeast"/>
              <w:jc w:val="both"/>
              <w:rPr>
                <w:rFonts w:ascii="Arial" w:eastAsiaTheme="minorEastAsia" w:hAnsi="Arial" w:cs="Arial"/>
                <w:sz w:val="22"/>
                <w:szCs w:val="22"/>
                <w:lang w:val="es-419" w:eastAsia="en-US"/>
              </w:rPr>
            </w:pPr>
            <w:r w:rsidRPr="009A2EBC">
              <w:rPr>
                <w:rFonts w:ascii="Arial" w:eastAsiaTheme="minorEastAsia" w:hAnsi="Arial" w:cs="Arial"/>
                <w:sz w:val="22"/>
                <w:szCs w:val="22"/>
                <w:lang w:val="es-419" w:eastAsia="en-US"/>
              </w:rPr>
              <w:t xml:space="preserve">Formulario para solicitar </w:t>
            </w:r>
            <w:r w:rsidR="00C94741">
              <w:rPr>
                <w:rFonts w:ascii="Arial" w:eastAsiaTheme="minorEastAsia" w:hAnsi="Arial" w:cs="Arial"/>
                <w:sz w:val="22"/>
                <w:szCs w:val="22"/>
                <w:lang w:val="es-419" w:eastAsia="en-US"/>
              </w:rPr>
              <w:t>caducos</w:t>
            </w:r>
          </w:p>
        </w:tc>
      </w:tr>
    </w:tbl>
    <w:p w14:paraId="127E968B" w14:textId="77777777" w:rsidR="00160AD8" w:rsidRDefault="00160AD8" w:rsidP="00014A2D">
      <w:pPr>
        <w:spacing w:after="160" w:line="23" w:lineRule="atLeast"/>
        <w:jc w:val="both"/>
        <w:rPr>
          <w:rFonts w:ascii="Arial" w:hAnsi="Arial" w:cs="Arial"/>
          <w:b/>
          <w:bCs/>
          <w:sz w:val="22"/>
          <w:szCs w:val="22"/>
          <w:lang w:val="es-CR"/>
        </w:rPr>
      </w:pPr>
    </w:p>
    <w:sectPr w:rsidR="00160AD8" w:rsidSect="00A03E97">
      <w:headerReference w:type="default" r:id="rId12"/>
      <w:pgSz w:w="12242" w:h="15842" w:code="1"/>
      <w:pgMar w:top="1417" w:right="1701" w:bottom="1417" w:left="1701"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E64A2F" w14:textId="77777777" w:rsidR="00A03E97" w:rsidRDefault="00A03E97" w:rsidP="00EE7C36">
      <w:r>
        <w:separator/>
      </w:r>
    </w:p>
  </w:endnote>
  <w:endnote w:type="continuationSeparator" w:id="0">
    <w:p w14:paraId="24E824DA" w14:textId="77777777" w:rsidR="00A03E97" w:rsidRDefault="00A03E97" w:rsidP="00EE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7213BA" w14:textId="77777777" w:rsidR="00A03E97" w:rsidRDefault="00A03E97" w:rsidP="00EE7C36">
      <w:r>
        <w:separator/>
      </w:r>
    </w:p>
  </w:footnote>
  <w:footnote w:type="continuationSeparator" w:id="0">
    <w:p w14:paraId="00C1421C" w14:textId="77777777" w:rsidR="00A03E97" w:rsidRDefault="00A03E97" w:rsidP="00EE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FFD94" w14:textId="77777777" w:rsidR="00EE7C36" w:rsidRDefault="00EE7C36">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EE7C36" w:rsidRPr="00EE7C36" w14:paraId="019B8E75" w14:textId="77777777" w:rsidTr="002B39AD">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03FDCC0" w14:textId="77777777" w:rsidR="00EE7C36" w:rsidRPr="00EE7C36" w:rsidRDefault="00EE7C36" w:rsidP="00EE7C36">
          <w:pPr>
            <w:tabs>
              <w:tab w:val="center" w:pos="4419"/>
              <w:tab w:val="right" w:pos="8838"/>
            </w:tabs>
            <w:jc w:val="center"/>
            <w:rPr>
              <w:rFonts w:asciiTheme="minorHAnsi" w:eastAsiaTheme="minorEastAsia" w:hAnsiTheme="minorHAnsi" w:cstheme="minorBidi"/>
              <w:b/>
              <w:noProof/>
              <w:sz w:val="21"/>
              <w:szCs w:val="21"/>
              <w:lang w:val="es-CR" w:eastAsia="en-US"/>
            </w:rPr>
          </w:pPr>
          <w:r w:rsidRPr="00EE7C36">
            <w:rPr>
              <w:rFonts w:asciiTheme="minorHAnsi" w:eastAsiaTheme="minorEastAsia" w:hAnsiTheme="minorHAnsi" w:cstheme="minorBidi"/>
              <w:noProof/>
              <w:sz w:val="21"/>
              <w:szCs w:val="21"/>
              <w:lang w:val="es-CR" w:eastAsia="en-US"/>
            </w:rPr>
            <w:drawing>
              <wp:inline distT="0" distB="0" distL="0" distR="0" wp14:anchorId="39DE9D7E" wp14:editId="2C4CC7E9">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6D047E40" w14:textId="77777777" w:rsidR="00EE7C36" w:rsidRPr="00EE7C36" w:rsidRDefault="00EE7C36" w:rsidP="00EE7C36">
          <w:pPr>
            <w:tabs>
              <w:tab w:val="center" w:pos="4419"/>
              <w:tab w:val="right" w:pos="8838"/>
            </w:tabs>
            <w:rPr>
              <w:rFonts w:asciiTheme="minorHAnsi" w:eastAsiaTheme="minorEastAsia" w:hAnsiTheme="minorHAnsi" w:cstheme="minorBidi"/>
              <w:b/>
              <w:noProof/>
              <w:sz w:val="21"/>
              <w:szCs w:val="21"/>
              <w:lang w:val="es-CR" w:eastAsia="en-US"/>
            </w:rPr>
          </w:pPr>
        </w:p>
      </w:tc>
      <w:tc>
        <w:tcPr>
          <w:tcW w:w="6683" w:type="dxa"/>
          <w:tcBorders>
            <w:top w:val="single" w:sz="4" w:space="0" w:color="auto"/>
            <w:left w:val="nil"/>
            <w:bottom w:val="single" w:sz="4" w:space="0" w:color="auto"/>
            <w:right w:val="single" w:sz="4" w:space="0" w:color="auto"/>
          </w:tcBorders>
          <w:vAlign w:val="center"/>
          <w:hideMark/>
        </w:tcPr>
        <w:p w14:paraId="606C488C" w14:textId="77777777" w:rsidR="00EE7C36" w:rsidRPr="00EE7C36" w:rsidRDefault="00EE7C36" w:rsidP="00EE7C36">
          <w:pPr>
            <w:tabs>
              <w:tab w:val="center" w:pos="4419"/>
              <w:tab w:val="right" w:pos="8838"/>
            </w:tabs>
            <w:jc w:val="center"/>
            <w:rPr>
              <w:rFonts w:asciiTheme="minorHAnsi" w:eastAsiaTheme="minorEastAsia" w:hAnsiTheme="minorHAnsi" w:cstheme="minorBidi"/>
              <w:b/>
              <w:noProof/>
              <w:sz w:val="21"/>
              <w:szCs w:val="21"/>
              <w:lang w:val="es-CR" w:eastAsia="en-US"/>
            </w:rPr>
          </w:pPr>
          <w:r w:rsidRPr="00EE7C36">
            <w:rPr>
              <w:rFonts w:asciiTheme="minorHAnsi" w:eastAsiaTheme="minorEastAsia" w:hAnsiTheme="minorHAnsi" w:cstheme="minorBidi"/>
              <w:b/>
              <w:noProof/>
              <w:sz w:val="21"/>
              <w:szCs w:val="21"/>
              <w:lang w:val="es-CR" w:eastAsia="en-US"/>
            </w:rPr>
            <w:t>PODER JUDICIAL</w:t>
          </w:r>
        </w:p>
        <w:p w14:paraId="352800E5" w14:textId="77777777" w:rsidR="00EE7C36" w:rsidRPr="00EE7C36" w:rsidRDefault="00EE7C36" w:rsidP="00EE7C36">
          <w:pPr>
            <w:tabs>
              <w:tab w:val="center" w:pos="4419"/>
              <w:tab w:val="right" w:pos="8838"/>
            </w:tabs>
            <w:jc w:val="center"/>
            <w:rPr>
              <w:rFonts w:asciiTheme="minorHAnsi" w:eastAsiaTheme="minorEastAsia" w:hAnsiTheme="minorHAnsi" w:cstheme="minorBidi"/>
              <w:b/>
              <w:noProof/>
              <w:sz w:val="21"/>
              <w:szCs w:val="21"/>
              <w:lang w:val="es-CR" w:eastAsia="en-US"/>
            </w:rPr>
          </w:pPr>
          <w:r w:rsidRPr="00EE7C36">
            <w:rPr>
              <w:rFonts w:asciiTheme="minorHAnsi" w:eastAsiaTheme="minorEastAsia" w:hAnsiTheme="minorHAnsi" w:cstheme="minorBidi"/>
              <w:b/>
              <w:noProof/>
              <w:sz w:val="21"/>
              <w:szCs w:val="21"/>
              <w:lang w:val="es-CR" w:eastAsia="en-US"/>
            </w:rPr>
            <w:t>REPÚBLICA DE COSTA RICA</w:t>
          </w:r>
        </w:p>
        <w:p w14:paraId="5AB72975" w14:textId="77777777" w:rsidR="00EE7C36" w:rsidRPr="00EE7C36" w:rsidRDefault="00EE7C36" w:rsidP="00EE7C36">
          <w:pPr>
            <w:tabs>
              <w:tab w:val="center" w:pos="4419"/>
              <w:tab w:val="right" w:pos="8838"/>
            </w:tabs>
            <w:jc w:val="center"/>
            <w:rPr>
              <w:rFonts w:asciiTheme="minorHAnsi" w:eastAsiaTheme="minorEastAsia" w:hAnsiTheme="minorHAnsi" w:cstheme="minorBidi"/>
              <w:b/>
              <w:noProof/>
              <w:sz w:val="21"/>
              <w:szCs w:val="21"/>
              <w:lang w:val="es-CR" w:eastAsia="en-US"/>
            </w:rPr>
          </w:pPr>
        </w:p>
        <w:p w14:paraId="3FBE464B" w14:textId="77777777" w:rsidR="00EE7C36" w:rsidRPr="00EE7C36" w:rsidRDefault="00EE7C36" w:rsidP="00EE7C36">
          <w:pPr>
            <w:tabs>
              <w:tab w:val="center" w:pos="4419"/>
              <w:tab w:val="right" w:pos="8838"/>
            </w:tabs>
            <w:jc w:val="center"/>
            <w:rPr>
              <w:rFonts w:asciiTheme="minorHAnsi" w:eastAsiaTheme="minorEastAsia" w:hAnsiTheme="minorHAnsi" w:cstheme="minorBidi"/>
              <w:b/>
              <w:noProof/>
              <w:sz w:val="21"/>
              <w:szCs w:val="21"/>
              <w:lang w:val="es-CR" w:eastAsia="en-US"/>
            </w:rPr>
          </w:pPr>
          <w:r w:rsidRPr="00EE7C36">
            <w:rPr>
              <w:rFonts w:asciiTheme="minorHAnsi" w:eastAsiaTheme="minorEastAsia" w:hAnsiTheme="minorHAnsi" w:cstheme="minorBidi"/>
              <w:b/>
              <w:noProof/>
              <w:sz w:val="21"/>
              <w:szCs w:val="21"/>
              <w:lang w:val="es-CR" w:eastAsia="en-US"/>
            </w:rPr>
            <w:t>DEPARTAMENTO DE PROVEEDURÍA</w:t>
          </w:r>
        </w:p>
      </w:tc>
    </w:tr>
    <w:tr w:rsidR="00EE7C36" w:rsidRPr="00EE7C36" w14:paraId="339539D7" w14:textId="77777777" w:rsidTr="002B39AD">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7B4BE80" w14:textId="77777777" w:rsidR="00EE7C36" w:rsidRPr="00EE7C36" w:rsidRDefault="00EE7C36" w:rsidP="00EE7C36">
          <w:pPr>
            <w:tabs>
              <w:tab w:val="center" w:pos="4419"/>
              <w:tab w:val="right" w:pos="8838"/>
            </w:tabs>
            <w:rPr>
              <w:rFonts w:asciiTheme="minorHAnsi" w:eastAsiaTheme="minorEastAsia" w:hAnsiTheme="minorHAnsi" w:cstheme="minorBidi"/>
              <w:b/>
              <w:noProof/>
              <w:sz w:val="21"/>
              <w:szCs w:val="21"/>
              <w:lang w:val="es-CR" w:eastAsia="en-US"/>
            </w:rPr>
          </w:pPr>
        </w:p>
      </w:tc>
      <w:tc>
        <w:tcPr>
          <w:tcW w:w="6683" w:type="dxa"/>
          <w:vMerge w:val="restart"/>
          <w:tcBorders>
            <w:top w:val="single" w:sz="4" w:space="0" w:color="auto"/>
            <w:left w:val="nil"/>
            <w:bottom w:val="single" w:sz="4" w:space="0" w:color="auto"/>
            <w:right w:val="single" w:sz="4" w:space="0" w:color="auto"/>
          </w:tcBorders>
          <w:vAlign w:val="center"/>
          <w:hideMark/>
        </w:tcPr>
        <w:p w14:paraId="7BFCFD7A" w14:textId="77777777" w:rsidR="00EE7C36" w:rsidRPr="00EE7C36" w:rsidRDefault="00EE7C36" w:rsidP="00EE7C36">
          <w:pPr>
            <w:tabs>
              <w:tab w:val="center" w:pos="4419"/>
              <w:tab w:val="right" w:pos="8838"/>
            </w:tabs>
            <w:jc w:val="center"/>
            <w:rPr>
              <w:rFonts w:asciiTheme="minorHAnsi" w:eastAsiaTheme="minorEastAsia" w:hAnsiTheme="minorHAnsi" w:cstheme="minorBidi"/>
              <w:b/>
              <w:bCs/>
              <w:noProof/>
              <w:sz w:val="21"/>
              <w:szCs w:val="21"/>
              <w:lang w:val="es-CR" w:eastAsia="en-US"/>
            </w:rPr>
          </w:pPr>
          <w:r w:rsidRPr="00EE7C36">
            <w:rPr>
              <w:rFonts w:asciiTheme="minorHAnsi" w:eastAsiaTheme="minorEastAsia" w:hAnsiTheme="minorHAnsi" w:cstheme="minorBidi"/>
              <w:b/>
              <w:noProof/>
              <w:sz w:val="21"/>
              <w:szCs w:val="21"/>
              <w:lang w:val="es-CR" w:eastAsia="en-US"/>
            </w:rPr>
            <w:t xml:space="preserve">GUÍA </w:t>
          </w:r>
          <w:r w:rsidR="001518C8">
            <w:rPr>
              <w:rFonts w:asciiTheme="minorHAnsi" w:eastAsiaTheme="minorEastAsia" w:hAnsiTheme="minorHAnsi" w:cstheme="minorBidi"/>
              <w:b/>
              <w:noProof/>
              <w:sz w:val="21"/>
              <w:szCs w:val="21"/>
              <w:lang w:val="es-CR" w:eastAsia="en-US"/>
            </w:rPr>
            <w:t>PARA SOLICITAR EL TRÁMITE DE CADUCOS DE PEDIDOS DE CONTRATACIONES ORDINARIAS</w:t>
          </w:r>
          <w:r w:rsidR="00541860">
            <w:rPr>
              <w:rFonts w:asciiTheme="minorHAnsi" w:eastAsiaTheme="minorEastAsia" w:hAnsiTheme="minorHAnsi" w:cstheme="minorBidi"/>
              <w:b/>
              <w:noProof/>
              <w:sz w:val="21"/>
              <w:szCs w:val="21"/>
              <w:lang w:val="es-CR" w:eastAsia="en-US"/>
            </w:rPr>
            <w:t xml:space="preserve"> Y COMPROMISOS NO DEVENGADOS</w:t>
          </w:r>
        </w:p>
      </w:tc>
    </w:tr>
    <w:tr w:rsidR="00EE7C36" w:rsidRPr="00EE7C36" w14:paraId="4ADD7DA8" w14:textId="77777777" w:rsidTr="002B39AD">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7ED8C525" w14:textId="77777777" w:rsidR="00EE7C36" w:rsidRPr="00EE7C36" w:rsidRDefault="00EE7C36" w:rsidP="00EE7C36">
          <w:pPr>
            <w:tabs>
              <w:tab w:val="center" w:pos="4419"/>
              <w:tab w:val="right" w:pos="8838"/>
            </w:tabs>
            <w:rPr>
              <w:rFonts w:asciiTheme="minorHAnsi" w:eastAsiaTheme="minorEastAsia" w:hAnsiTheme="minorHAnsi" w:cstheme="minorBidi"/>
              <w:b/>
              <w:noProof/>
              <w:sz w:val="21"/>
              <w:szCs w:val="21"/>
              <w:lang w:val="es-CR" w:eastAsia="en-US"/>
            </w:rPr>
          </w:pPr>
        </w:p>
      </w:tc>
      <w:tc>
        <w:tcPr>
          <w:tcW w:w="6683" w:type="dxa"/>
          <w:vMerge/>
          <w:tcBorders>
            <w:top w:val="single" w:sz="4" w:space="0" w:color="auto"/>
            <w:left w:val="nil"/>
            <w:bottom w:val="single" w:sz="4" w:space="0" w:color="auto"/>
            <w:right w:val="single" w:sz="4" w:space="0" w:color="auto"/>
          </w:tcBorders>
          <w:vAlign w:val="center"/>
          <w:hideMark/>
        </w:tcPr>
        <w:p w14:paraId="5D1006B0" w14:textId="77777777" w:rsidR="00EE7C36" w:rsidRPr="00EE7C36" w:rsidRDefault="00EE7C36" w:rsidP="00EE7C36">
          <w:pPr>
            <w:tabs>
              <w:tab w:val="center" w:pos="4419"/>
              <w:tab w:val="right" w:pos="8838"/>
            </w:tabs>
            <w:rPr>
              <w:rFonts w:asciiTheme="minorHAnsi" w:eastAsiaTheme="minorEastAsia" w:hAnsiTheme="minorHAnsi" w:cstheme="minorBidi"/>
              <w:b/>
              <w:bCs/>
              <w:noProof/>
              <w:sz w:val="21"/>
              <w:szCs w:val="21"/>
              <w:lang w:val="es-CR" w:eastAsia="en-US"/>
            </w:rPr>
          </w:pPr>
        </w:p>
      </w:tc>
    </w:tr>
  </w:tbl>
  <w:p w14:paraId="2E2A6934" w14:textId="77777777" w:rsidR="00EE7C36" w:rsidRDefault="00EE7C36">
    <w:pPr>
      <w:pStyle w:val="Encabezado"/>
    </w:pPr>
  </w:p>
  <w:p w14:paraId="2C12BB32" w14:textId="77777777" w:rsidR="00EE7C36" w:rsidRDefault="00EE7C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D4C1D"/>
    <w:multiLevelType w:val="multilevel"/>
    <w:tmpl w:val="EB301C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02FDC"/>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8FD61C6"/>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13B0518"/>
    <w:multiLevelType w:val="hybridMultilevel"/>
    <w:tmpl w:val="1DA6AF14"/>
    <w:lvl w:ilvl="0" w:tplc="140A0005">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4" w15:restartNumberingAfterBreak="0">
    <w:nsid w:val="227A5102"/>
    <w:multiLevelType w:val="hybridMultilevel"/>
    <w:tmpl w:val="C810BA9A"/>
    <w:lvl w:ilvl="0" w:tplc="37820764">
      <w:numFmt w:val="bullet"/>
      <w:lvlText w:val="-"/>
      <w:lvlJc w:val="left"/>
      <w:pPr>
        <w:ind w:left="1068" w:hanging="708"/>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3D5541A"/>
    <w:multiLevelType w:val="hybridMultilevel"/>
    <w:tmpl w:val="8710FB4A"/>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9584FC2"/>
    <w:multiLevelType w:val="hybridMultilevel"/>
    <w:tmpl w:val="245AF062"/>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EE01516"/>
    <w:multiLevelType w:val="hybridMultilevel"/>
    <w:tmpl w:val="38F6A0FA"/>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5B4577"/>
    <w:multiLevelType w:val="hybridMultilevel"/>
    <w:tmpl w:val="74D0E07E"/>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58A1BEB"/>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3863701B"/>
    <w:multiLevelType w:val="multilevel"/>
    <w:tmpl w:val="65945D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47B77518"/>
    <w:multiLevelType w:val="hybridMultilevel"/>
    <w:tmpl w:val="8E749DE4"/>
    <w:lvl w:ilvl="0" w:tplc="140A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3" w15:restartNumberingAfterBreak="0">
    <w:nsid w:val="4B762AA7"/>
    <w:multiLevelType w:val="hybridMultilevel"/>
    <w:tmpl w:val="150CC3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BDC7586"/>
    <w:multiLevelType w:val="hybridMultilevel"/>
    <w:tmpl w:val="8E06F312"/>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3F77DC4"/>
    <w:multiLevelType w:val="hybridMultilevel"/>
    <w:tmpl w:val="2B14F1F0"/>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7"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A035A1"/>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9" w15:restartNumberingAfterBreak="0">
    <w:nsid w:val="5EBD3EAE"/>
    <w:multiLevelType w:val="multilevel"/>
    <w:tmpl w:val="41084C9A"/>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bCs/>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60112CF1"/>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15:restartNumberingAfterBreak="0">
    <w:nsid w:val="68F96199"/>
    <w:multiLevelType w:val="hybridMultilevel"/>
    <w:tmpl w:val="421698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E1C7B23"/>
    <w:multiLevelType w:val="hybridMultilevel"/>
    <w:tmpl w:val="953EDB68"/>
    <w:lvl w:ilvl="0" w:tplc="140A000D">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4" w15:restartNumberingAfterBreak="0">
    <w:nsid w:val="709A04A1"/>
    <w:multiLevelType w:val="hybridMultilevel"/>
    <w:tmpl w:val="A76C7998"/>
    <w:lvl w:ilvl="0" w:tplc="C74C605E">
      <w:start w:val="1"/>
      <w:numFmt w:val="decimal"/>
      <w:lvlText w:val="2.%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4FA6211"/>
    <w:multiLevelType w:val="multilevel"/>
    <w:tmpl w:val="0770CAB0"/>
    <w:lvl w:ilvl="0">
      <w:start w:val="1"/>
      <w:numFmt w:val="decimal"/>
      <w:lvlText w:val="%1."/>
      <w:lvlJc w:val="left"/>
      <w:pPr>
        <w:ind w:left="720" w:hanging="360"/>
      </w:pPr>
    </w:lvl>
    <w:lvl w:ilvl="1">
      <w:start w:val="1"/>
      <w:numFmt w:val="decimal"/>
      <w:lvlText w:val="2.%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6" w15:restartNumberingAfterBreak="0">
    <w:nsid w:val="76C81D3A"/>
    <w:multiLevelType w:val="hybridMultilevel"/>
    <w:tmpl w:val="CA1410D0"/>
    <w:lvl w:ilvl="0" w:tplc="37820764">
      <w:numFmt w:val="bullet"/>
      <w:lvlText w:val="-"/>
      <w:lvlJc w:val="left"/>
      <w:pPr>
        <w:ind w:left="1428" w:hanging="708"/>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7"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9004EDB"/>
    <w:multiLevelType w:val="hybridMultilevel"/>
    <w:tmpl w:val="C1F0B91A"/>
    <w:lvl w:ilvl="0" w:tplc="37820764">
      <w:numFmt w:val="bullet"/>
      <w:lvlText w:val="-"/>
      <w:lvlJc w:val="left"/>
      <w:pPr>
        <w:ind w:left="1068" w:hanging="708"/>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DB44558"/>
    <w:multiLevelType w:val="multilevel"/>
    <w:tmpl w:val="9DDA274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9748823">
    <w:abstractNumId w:val="22"/>
  </w:num>
  <w:num w:numId="2" w16cid:durableId="388841132">
    <w:abstractNumId w:val="11"/>
  </w:num>
  <w:num w:numId="3" w16cid:durableId="335814305">
    <w:abstractNumId w:val="17"/>
  </w:num>
  <w:num w:numId="4" w16cid:durableId="796873662">
    <w:abstractNumId w:val="27"/>
  </w:num>
  <w:num w:numId="5" w16cid:durableId="1909267156">
    <w:abstractNumId w:val="16"/>
  </w:num>
  <w:num w:numId="6" w16cid:durableId="1416440797">
    <w:abstractNumId w:val="21"/>
  </w:num>
  <w:num w:numId="7" w16cid:durableId="603729475">
    <w:abstractNumId w:val="25"/>
  </w:num>
  <w:num w:numId="8" w16cid:durableId="1141731109">
    <w:abstractNumId w:val="20"/>
  </w:num>
  <w:num w:numId="9" w16cid:durableId="1289583598">
    <w:abstractNumId w:val="1"/>
  </w:num>
  <w:num w:numId="10" w16cid:durableId="553078636">
    <w:abstractNumId w:val="18"/>
  </w:num>
  <w:num w:numId="11" w16cid:durableId="2012174547">
    <w:abstractNumId w:val="24"/>
  </w:num>
  <w:num w:numId="12" w16cid:durableId="2128235696">
    <w:abstractNumId w:val="8"/>
  </w:num>
  <w:num w:numId="13" w16cid:durableId="1879465308">
    <w:abstractNumId w:val="14"/>
  </w:num>
  <w:num w:numId="14" w16cid:durableId="73401267">
    <w:abstractNumId w:val="6"/>
  </w:num>
  <w:num w:numId="15" w16cid:durableId="89131697">
    <w:abstractNumId w:val="15"/>
  </w:num>
  <w:num w:numId="16" w16cid:durableId="1673099699">
    <w:abstractNumId w:val="5"/>
  </w:num>
  <w:num w:numId="17" w16cid:durableId="993491276">
    <w:abstractNumId w:val="7"/>
  </w:num>
  <w:num w:numId="18" w16cid:durableId="2089620161">
    <w:abstractNumId w:val="0"/>
  </w:num>
  <w:num w:numId="19" w16cid:durableId="786966535">
    <w:abstractNumId w:val="9"/>
  </w:num>
  <w:num w:numId="20" w16cid:durableId="53285067">
    <w:abstractNumId w:val="10"/>
  </w:num>
  <w:num w:numId="21" w16cid:durableId="777523558">
    <w:abstractNumId w:val="2"/>
  </w:num>
  <w:num w:numId="22" w16cid:durableId="486437112">
    <w:abstractNumId w:val="29"/>
  </w:num>
  <w:num w:numId="23" w16cid:durableId="2008629003">
    <w:abstractNumId w:val="23"/>
  </w:num>
  <w:num w:numId="24" w16cid:durableId="941491333">
    <w:abstractNumId w:val="3"/>
  </w:num>
  <w:num w:numId="25" w16cid:durableId="1490515617">
    <w:abstractNumId w:val="12"/>
  </w:num>
  <w:num w:numId="26" w16cid:durableId="1201236908">
    <w:abstractNumId w:val="19"/>
  </w:num>
  <w:num w:numId="27" w16cid:durableId="1254129290">
    <w:abstractNumId w:val="13"/>
  </w:num>
  <w:num w:numId="28" w16cid:durableId="2136681351">
    <w:abstractNumId w:val="4"/>
  </w:num>
  <w:num w:numId="29" w16cid:durableId="1342052452">
    <w:abstractNumId w:val="26"/>
  </w:num>
  <w:num w:numId="30" w16cid:durableId="8498354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35"/>
    <w:rsid w:val="00000951"/>
    <w:rsid w:val="00001F05"/>
    <w:rsid w:val="00003125"/>
    <w:rsid w:val="0000511F"/>
    <w:rsid w:val="00005BCC"/>
    <w:rsid w:val="0000656E"/>
    <w:rsid w:val="00011976"/>
    <w:rsid w:val="00014A2D"/>
    <w:rsid w:val="00025AE7"/>
    <w:rsid w:val="0003211F"/>
    <w:rsid w:val="00034208"/>
    <w:rsid w:val="000361B9"/>
    <w:rsid w:val="00040232"/>
    <w:rsid w:val="00041C7F"/>
    <w:rsid w:val="000463A7"/>
    <w:rsid w:val="00052A78"/>
    <w:rsid w:val="00054255"/>
    <w:rsid w:val="00067058"/>
    <w:rsid w:val="0007049D"/>
    <w:rsid w:val="000715B1"/>
    <w:rsid w:val="000722A9"/>
    <w:rsid w:val="00077987"/>
    <w:rsid w:val="00081CAC"/>
    <w:rsid w:val="00092E39"/>
    <w:rsid w:val="000939B5"/>
    <w:rsid w:val="00094969"/>
    <w:rsid w:val="000969D6"/>
    <w:rsid w:val="000A2A59"/>
    <w:rsid w:val="000A2F58"/>
    <w:rsid w:val="000A6719"/>
    <w:rsid w:val="000A7209"/>
    <w:rsid w:val="000B13FF"/>
    <w:rsid w:val="000D66B7"/>
    <w:rsid w:val="000F31F8"/>
    <w:rsid w:val="00100497"/>
    <w:rsid w:val="00104378"/>
    <w:rsid w:val="00105BBA"/>
    <w:rsid w:val="001071E1"/>
    <w:rsid w:val="0011083C"/>
    <w:rsid w:val="00113116"/>
    <w:rsid w:val="00116AED"/>
    <w:rsid w:val="00121D94"/>
    <w:rsid w:val="0012424C"/>
    <w:rsid w:val="00146646"/>
    <w:rsid w:val="00151742"/>
    <w:rsid w:val="001518C8"/>
    <w:rsid w:val="00153896"/>
    <w:rsid w:val="00156AAA"/>
    <w:rsid w:val="001576D6"/>
    <w:rsid w:val="00160AD8"/>
    <w:rsid w:val="00162506"/>
    <w:rsid w:val="00176005"/>
    <w:rsid w:val="001929F5"/>
    <w:rsid w:val="00195A69"/>
    <w:rsid w:val="00195CD3"/>
    <w:rsid w:val="001A232D"/>
    <w:rsid w:val="001A25F3"/>
    <w:rsid w:val="001A4C79"/>
    <w:rsid w:val="001B23F6"/>
    <w:rsid w:val="001B4E82"/>
    <w:rsid w:val="001C1FE5"/>
    <w:rsid w:val="001C664A"/>
    <w:rsid w:val="001D1765"/>
    <w:rsid w:val="001D3691"/>
    <w:rsid w:val="001D51AD"/>
    <w:rsid w:val="00203C11"/>
    <w:rsid w:val="00216F9A"/>
    <w:rsid w:val="00223783"/>
    <w:rsid w:val="002274BC"/>
    <w:rsid w:val="00232978"/>
    <w:rsid w:val="0024058C"/>
    <w:rsid w:val="00243943"/>
    <w:rsid w:val="00244BCE"/>
    <w:rsid w:val="002518DE"/>
    <w:rsid w:val="0025257B"/>
    <w:rsid w:val="002665B5"/>
    <w:rsid w:val="0026665A"/>
    <w:rsid w:val="0028680E"/>
    <w:rsid w:val="002878AD"/>
    <w:rsid w:val="00296E85"/>
    <w:rsid w:val="002A4955"/>
    <w:rsid w:val="002B5226"/>
    <w:rsid w:val="002C0282"/>
    <w:rsid w:val="002C09E2"/>
    <w:rsid w:val="002C0CB9"/>
    <w:rsid w:val="002E222F"/>
    <w:rsid w:val="002E5A14"/>
    <w:rsid w:val="002F0583"/>
    <w:rsid w:val="002F2DBB"/>
    <w:rsid w:val="002F3232"/>
    <w:rsid w:val="002F3F2C"/>
    <w:rsid w:val="00306E75"/>
    <w:rsid w:val="0031088C"/>
    <w:rsid w:val="003251CF"/>
    <w:rsid w:val="003256B3"/>
    <w:rsid w:val="00327BF8"/>
    <w:rsid w:val="00336D62"/>
    <w:rsid w:val="00345145"/>
    <w:rsid w:val="00350F55"/>
    <w:rsid w:val="00351FB4"/>
    <w:rsid w:val="00361625"/>
    <w:rsid w:val="00366C9B"/>
    <w:rsid w:val="00370D30"/>
    <w:rsid w:val="003729E9"/>
    <w:rsid w:val="00372E3E"/>
    <w:rsid w:val="00380696"/>
    <w:rsid w:val="00391C68"/>
    <w:rsid w:val="003972F7"/>
    <w:rsid w:val="003A1776"/>
    <w:rsid w:val="003A68A6"/>
    <w:rsid w:val="003B2500"/>
    <w:rsid w:val="003B4735"/>
    <w:rsid w:val="003C24D9"/>
    <w:rsid w:val="003D35B9"/>
    <w:rsid w:val="003E3E8A"/>
    <w:rsid w:val="00405DF3"/>
    <w:rsid w:val="00412D4E"/>
    <w:rsid w:val="00422D33"/>
    <w:rsid w:val="0043433C"/>
    <w:rsid w:val="00434C5A"/>
    <w:rsid w:val="004406D2"/>
    <w:rsid w:val="00441119"/>
    <w:rsid w:val="00443460"/>
    <w:rsid w:val="004517DB"/>
    <w:rsid w:val="00452CC8"/>
    <w:rsid w:val="0045308B"/>
    <w:rsid w:val="0045508C"/>
    <w:rsid w:val="004629FC"/>
    <w:rsid w:val="00464E98"/>
    <w:rsid w:val="004655FD"/>
    <w:rsid w:val="0048154B"/>
    <w:rsid w:val="00490A13"/>
    <w:rsid w:val="00490B25"/>
    <w:rsid w:val="00495427"/>
    <w:rsid w:val="004A0A1A"/>
    <w:rsid w:val="004A41CB"/>
    <w:rsid w:val="004A4BDE"/>
    <w:rsid w:val="004B3694"/>
    <w:rsid w:val="004B5856"/>
    <w:rsid w:val="004C198F"/>
    <w:rsid w:val="004E072B"/>
    <w:rsid w:val="004E2D56"/>
    <w:rsid w:val="004E63E1"/>
    <w:rsid w:val="004F598D"/>
    <w:rsid w:val="00501657"/>
    <w:rsid w:val="00503099"/>
    <w:rsid w:val="00503A29"/>
    <w:rsid w:val="00506A72"/>
    <w:rsid w:val="00511AFF"/>
    <w:rsid w:val="005157A1"/>
    <w:rsid w:val="00515D13"/>
    <w:rsid w:val="005252D6"/>
    <w:rsid w:val="005255F6"/>
    <w:rsid w:val="0053496E"/>
    <w:rsid w:val="0053786A"/>
    <w:rsid w:val="00541860"/>
    <w:rsid w:val="005478D6"/>
    <w:rsid w:val="00550D93"/>
    <w:rsid w:val="00551278"/>
    <w:rsid w:val="00551335"/>
    <w:rsid w:val="00553D06"/>
    <w:rsid w:val="005607FA"/>
    <w:rsid w:val="00563867"/>
    <w:rsid w:val="00564372"/>
    <w:rsid w:val="00566743"/>
    <w:rsid w:val="00567816"/>
    <w:rsid w:val="00571958"/>
    <w:rsid w:val="005737A8"/>
    <w:rsid w:val="00586A4A"/>
    <w:rsid w:val="00594C1E"/>
    <w:rsid w:val="005A00A7"/>
    <w:rsid w:val="005A308F"/>
    <w:rsid w:val="005A3196"/>
    <w:rsid w:val="005B0B12"/>
    <w:rsid w:val="005C0001"/>
    <w:rsid w:val="005C1C08"/>
    <w:rsid w:val="005C245C"/>
    <w:rsid w:val="005C2813"/>
    <w:rsid w:val="005C2F5A"/>
    <w:rsid w:val="005C5CD4"/>
    <w:rsid w:val="005C66FA"/>
    <w:rsid w:val="005E010C"/>
    <w:rsid w:val="005E218A"/>
    <w:rsid w:val="005E6C4D"/>
    <w:rsid w:val="005F3718"/>
    <w:rsid w:val="00602870"/>
    <w:rsid w:val="00614CC8"/>
    <w:rsid w:val="00623CCF"/>
    <w:rsid w:val="0062578A"/>
    <w:rsid w:val="00636F80"/>
    <w:rsid w:val="00637ADD"/>
    <w:rsid w:val="00640468"/>
    <w:rsid w:val="006438FE"/>
    <w:rsid w:val="00644579"/>
    <w:rsid w:val="00661756"/>
    <w:rsid w:val="00661D87"/>
    <w:rsid w:val="00663C23"/>
    <w:rsid w:val="00666C0B"/>
    <w:rsid w:val="00693B8A"/>
    <w:rsid w:val="00694F5E"/>
    <w:rsid w:val="006A28D4"/>
    <w:rsid w:val="006A3018"/>
    <w:rsid w:val="006B063B"/>
    <w:rsid w:val="006B0FA8"/>
    <w:rsid w:val="006C6782"/>
    <w:rsid w:val="006C7807"/>
    <w:rsid w:val="006D7CCB"/>
    <w:rsid w:val="006E6A35"/>
    <w:rsid w:val="006F2E84"/>
    <w:rsid w:val="006F6598"/>
    <w:rsid w:val="00705CCA"/>
    <w:rsid w:val="0072649B"/>
    <w:rsid w:val="00735D86"/>
    <w:rsid w:val="0074707F"/>
    <w:rsid w:val="00762373"/>
    <w:rsid w:val="0076265F"/>
    <w:rsid w:val="0076611E"/>
    <w:rsid w:val="0077281B"/>
    <w:rsid w:val="007734B3"/>
    <w:rsid w:val="00781D8A"/>
    <w:rsid w:val="007925B7"/>
    <w:rsid w:val="0079696C"/>
    <w:rsid w:val="007B4C2D"/>
    <w:rsid w:val="007C2172"/>
    <w:rsid w:val="007C483D"/>
    <w:rsid w:val="007D0B79"/>
    <w:rsid w:val="007D38F4"/>
    <w:rsid w:val="007D7E05"/>
    <w:rsid w:val="007E2525"/>
    <w:rsid w:val="007E3223"/>
    <w:rsid w:val="007E761E"/>
    <w:rsid w:val="007F07EF"/>
    <w:rsid w:val="007F5B32"/>
    <w:rsid w:val="00816202"/>
    <w:rsid w:val="0082594B"/>
    <w:rsid w:val="00825ABD"/>
    <w:rsid w:val="00832ED5"/>
    <w:rsid w:val="008379B4"/>
    <w:rsid w:val="00842B89"/>
    <w:rsid w:val="00846C1D"/>
    <w:rsid w:val="00846D1C"/>
    <w:rsid w:val="00847626"/>
    <w:rsid w:val="00850F0B"/>
    <w:rsid w:val="008511EB"/>
    <w:rsid w:val="00854312"/>
    <w:rsid w:val="008660DE"/>
    <w:rsid w:val="00873A67"/>
    <w:rsid w:val="00875F83"/>
    <w:rsid w:val="0087753A"/>
    <w:rsid w:val="00880F21"/>
    <w:rsid w:val="00895558"/>
    <w:rsid w:val="008A2FDE"/>
    <w:rsid w:val="008A48EA"/>
    <w:rsid w:val="008E3B5A"/>
    <w:rsid w:val="008E43C8"/>
    <w:rsid w:val="008E4B33"/>
    <w:rsid w:val="00901E1A"/>
    <w:rsid w:val="00910AF5"/>
    <w:rsid w:val="009132CF"/>
    <w:rsid w:val="00916790"/>
    <w:rsid w:val="0092253E"/>
    <w:rsid w:val="00937905"/>
    <w:rsid w:val="00940821"/>
    <w:rsid w:val="00942564"/>
    <w:rsid w:val="00952E05"/>
    <w:rsid w:val="00961B5A"/>
    <w:rsid w:val="009621F8"/>
    <w:rsid w:val="00963195"/>
    <w:rsid w:val="0097099A"/>
    <w:rsid w:val="009746A1"/>
    <w:rsid w:val="00980475"/>
    <w:rsid w:val="009941CB"/>
    <w:rsid w:val="00996B5E"/>
    <w:rsid w:val="00997A60"/>
    <w:rsid w:val="009A2EBC"/>
    <w:rsid w:val="009B46BA"/>
    <w:rsid w:val="009C0D68"/>
    <w:rsid w:val="009C1F46"/>
    <w:rsid w:val="009D1514"/>
    <w:rsid w:val="009D6B2D"/>
    <w:rsid w:val="009E652E"/>
    <w:rsid w:val="009E675E"/>
    <w:rsid w:val="009F2390"/>
    <w:rsid w:val="009F5ED7"/>
    <w:rsid w:val="00A039BD"/>
    <w:rsid w:val="00A03E97"/>
    <w:rsid w:val="00A262A8"/>
    <w:rsid w:val="00A30742"/>
    <w:rsid w:val="00A33038"/>
    <w:rsid w:val="00A37187"/>
    <w:rsid w:val="00A378BD"/>
    <w:rsid w:val="00A430D7"/>
    <w:rsid w:val="00A527E7"/>
    <w:rsid w:val="00A553A2"/>
    <w:rsid w:val="00A611B2"/>
    <w:rsid w:val="00A676EB"/>
    <w:rsid w:val="00A7692F"/>
    <w:rsid w:val="00A85F2E"/>
    <w:rsid w:val="00A86120"/>
    <w:rsid w:val="00A90C0D"/>
    <w:rsid w:val="00A92EB9"/>
    <w:rsid w:val="00AA21DA"/>
    <w:rsid w:val="00AA7F92"/>
    <w:rsid w:val="00AB19DC"/>
    <w:rsid w:val="00AB62F6"/>
    <w:rsid w:val="00AB737E"/>
    <w:rsid w:val="00AD1D0E"/>
    <w:rsid w:val="00AD3EBD"/>
    <w:rsid w:val="00AD602C"/>
    <w:rsid w:val="00AD7AD4"/>
    <w:rsid w:val="00AE072B"/>
    <w:rsid w:val="00AE21D6"/>
    <w:rsid w:val="00AE5530"/>
    <w:rsid w:val="00AE7983"/>
    <w:rsid w:val="00AF0506"/>
    <w:rsid w:val="00AF5944"/>
    <w:rsid w:val="00AF6568"/>
    <w:rsid w:val="00B03904"/>
    <w:rsid w:val="00B07356"/>
    <w:rsid w:val="00B15639"/>
    <w:rsid w:val="00B3575C"/>
    <w:rsid w:val="00B45745"/>
    <w:rsid w:val="00B479DA"/>
    <w:rsid w:val="00B520F9"/>
    <w:rsid w:val="00B541E3"/>
    <w:rsid w:val="00B70F6F"/>
    <w:rsid w:val="00B7169F"/>
    <w:rsid w:val="00B7478A"/>
    <w:rsid w:val="00B754D7"/>
    <w:rsid w:val="00B80A6D"/>
    <w:rsid w:val="00B963CE"/>
    <w:rsid w:val="00BA0C04"/>
    <w:rsid w:val="00BA1682"/>
    <w:rsid w:val="00BA354C"/>
    <w:rsid w:val="00BB259A"/>
    <w:rsid w:val="00BB40D4"/>
    <w:rsid w:val="00BB5DF4"/>
    <w:rsid w:val="00BC2668"/>
    <w:rsid w:val="00BE2967"/>
    <w:rsid w:val="00BE31F2"/>
    <w:rsid w:val="00BE3EAF"/>
    <w:rsid w:val="00BE5C65"/>
    <w:rsid w:val="00BF2651"/>
    <w:rsid w:val="00C169D4"/>
    <w:rsid w:val="00C175B2"/>
    <w:rsid w:val="00C224CD"/>
    <w:rsid w:val="00C2663A"/>
    <w:rsid w:val="00C34B82"/>
    <w:rsid w:val="00C45958"/>
    <w:rsid w:val="00C47141"/>
    <w:rsid w:val="00C5635E"/>
    <w:rsid w:val="00C66BD0"/>
    <w:rsid w:val="00C70045"/>
    <w:rsid w:val="00C729FC"/>
    <w:rsid w:val="00C73DBE"/>
    <w:rsid w:val="00C776F8"/>
    <w:rsid w:val="00C870D8"/>
    <w:rsid w:val="00C879C2"/>
    <w:rsid w:val="00C92842"/>
    <w:rsid w:val="00C94741"/>
    <w:rsid w:val="00CB37FC"/>
    <w:rsid w:val="00CC1C1A"/>
    <w:rsid w:val="00CC79DF"/>
    <w:rsid w:val="00CE1F53"/>
    <w:rsid w:val="00CF191C"/>
    <w:rsid w:val="00D00C83"/>
    <w:rsid w:val="00D02A8B"/>
    <w:rsid w:val="00D245D6"/>
    <w:rsid w:val="00D32A11"/>
    <w:rsid w:val="00D42626"/>
    <w:rsid w:val="00D42F5F"/>
    <w:rsid w:val="00D47B0E"/>
    <w:rsid w:val="00D53380"/>
    <w:rsid w:val="00D5467C"/>
    <w:rsid w:val="00D60693"/>
    <w:rsid w:val="00D65B7E"/>
    <w:rsid w:val="00D728F1"/>
    <w:rsid w:val="00D76842"/>
    <w:rsid w:val="00D808BC"/>
    <w:rsid w:val="00D9271C"/>
    <w:rsid w:val="00DA4513"/>
    <w:rsid w:val="00DA4ECE"/>
    <w:rsid w:val="00DA58BF"/>
    <w:rsid w:val="00DB258C"/>
    <w:rsid w:val="00DC6BFF"/>
    <w:rsid w:val="00DC7C1C"/>
    <w:rsid w:val="00DD6F4A"/>
    <w:rsid w:val="00DD7FE0"/>
    <w:rsid w:val="00DF1FAE"/>
    <w:rsid w:val="00DF3EE1"/>
    <w:rsid w:val="00E04C0F"/>
    <w:rsid w:val="00E05B71"/>
    <w:rsid w:val="00E1295B"/>
    <w:rsid w:val="00E24144"/>
    <w:rsid w:val="00E24755"/>
    <w:rsid w:val="00E44F72"/>
    <w:rsid w:val="00E50249"/>
    <w:rsid w:val="00E57F7B"/>
    <w:rsid w:val="00E7316D"/>
    <w:rsid w:val="00E75706"/>
    <w:rsid w:val="00EA39AE"/>
    <w:rsid w:val="00EA57DB"/>
    <w:rsid w:val="00EA5D72"/>
    <w:rsid w:val="00EC02EC"/>
    <w:rsid w:val="00EC3CAF"/>
    <w:rsid w:val="00EC5404"/>
    <w:rsid w:val="00EC6FA6"/>
    <w:rsid w:val="00EE05D7"/>
    <w:rsid w:val="00EE0667"/>
    <w:rsid w:val="00EE2E20"/>
    <w:rsid w:val="00EE5A21"/>
    <w:rsid w:val="00EE7C36"/>
    <w:rsid w:val="00EF3DC1"/>
    <w:rsid w:val="00EF4F49"/>
    <w:rsid w:val="00F02A9A"/>
    <w:rsid w:val="00F07339"/>
    <w:rsid w:val="00F12EF2"/>
    <w:rsid w:val="00F15DBE"/>
    <w:rsid w:val="00F2614B"/>
    <w:rsid w:val="00F27CE3"/>
    <w:rsid w:val="00F34A31"/>
    <w:rsid w:val="00F441EF"/>
    <w:rsid w:val="00F45F50"/>
    <w:rsid w:val="00F52619"/>
    <w:rsid w:val="00F57CDE"/>
    <w:rsid w:val="00F66D28"/>
    <w:rsid w:val="00F75178"/>
    <w:rsid w:val="00F766E5"/>
    <w:rsid w:val="00F86AB8"/>
    <w:rsid w:val="00F920FA"/>
    <w:rsid w:val="00F939F4"/>
    <w:rsid w:val="00F97A7B"/>
    <w:rsid w:val="00FA1D82"/>
    <w:rsid w:val="00FA3749"/>
    <w:rsid w:val="00FC0229"/>
    <w:rsid w:val="00FD3259"/>
    <w:rsid w:val="00FD5283"/>
    <w:rsid w:val="00FF03C3"/>
    <w:rsid w:val="00FF32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EC3C"/>
  <w15:chartTrackingRefBased/>
  <w15:docId w15:val="{DA78D729-77C1-418D-96C9-36F15882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3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6A35"/>
    <w:pPr>
      <w:ind w:left="708"/>
    </w:pPr>
  </w:style>
  <w:style w:type="character" w:styleId="Hipervnculo">
    <w:name w:val="Hyperlink"/>
    <w:rsid w:val="006E6A35"/>
    <w:rPr>
      <w:color w:val="0563C1"/>
      <w:u w:val="single"/>
    </w:rPr>
  </w:style>
  <w:style w:type="paragraph" w:customStyle="1" w:styleId="Default">
    <w:name w:val="Default"/>
    <w:rsid w:val="006E6A35"/>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table" w:customStyle="1" w:styleId="TableGrid">
    <w:name w:val="TableGrid"/>
    <w:rsid w:val="006E6A35"/>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14CC8"/>
    <w:rPr>
      <w:color w:val="605E5C"/>
      <w:shd w:val="clear" w:color="auto" w:fill="E1DFDD"/>
    </w:rPr>
  </w:style>
  <w:style w:type="character" w:styleId="Refdecomentario">
    <w:name w:val="annotation reference"/>
    <w:basedOn w:val="Fuentedeprrafopredeter"/>
    <w:uiPriority w:val="99"/>
    <w:semiHidden/>
    <w:unhideWhenUsed/>
    <w:rsid w:val="003729E9"/>
    <w:rPr>
      <w:sz w:val="16"/>
      <w:szCs w:val="16"/>
    </w:rPr>
  </w:style>
  <w:style w:type="paragraph" w:styleId="Textocomentario">
    <w:name w:val="annotation text"/>
    <w:basedOn w:val="Normal"/>
    <w:link w:val="TextocomentarioCar"/>
    <w:uiPriority w:val="99"/>
    <w:unhideWhenUsed/>
    <w:rsid w:val="003729E9"/>
    <w:rPr>
      <w:sz w:val="20"/>
      <w:szCs w:val="20"/>
    </w:rPr>
  </w:style>
  <w:style w:type="character" w:customStyle="1" w:styleId="TextocomentarioCar">
    <w:name w:val="Texto comentario Car"/>
    <w:basedOn w:val="Fuentedeprrafopredeter"/>
    <w:link w:val="Textocomentario"/>
    <w:uiPriority w:val="99"/>
    <w:rsid w:val="003729E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29E9"/>
    <w:rPr>
      <w:b/>
      <w:bCs/>
    </w:rPr>
  </w:style>
  <w:style w:type="character" w:customStyle="1" w:styleId="AsuntodelcomentarioCar">
    <w:name w:val="Asunto del comentario Car"/>
    <w:basedOn w:val="TextocomentarioCar"/>
    <w:link w:val="Asuntodelcomentario"/>
    <w:uiPriority w:val="99"/>
    <w:semiHidden/>
    <w:rsid w:val="003729E9"/>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3A177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E7C36"/>
    <w:pPr>
      <w:tabs>
        <w:tab w:val="center" w:pos="4419"/>
        <w:tab w:val="right" w:pos="8838"/>
      </w:tabs>
    </w:pPr>
  </w:style>
  <w:style w:type="character" w:customStyle="1" w:styleId="EncabezadoCar">
    <w:name w:val="Encabezado Car"/>
    <w:basedOn w:val="Fuentedeprrafopredeter"/>
    <w:link w:val="Encabezado"/>
    <w:uiPriority w:val="99"/>
    <w:rsid w:val="00EE7C3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7C36"/>
    <w:pPr>
      <w:tabs>
        <w:tab w:val="center" w:pos="4419"/>
        <w:tab w:val="right" w:pos="8838"/>
      </w:tabs>
    </w:pPr>
  </w:style>
  <w:style w:type="character" w:customStyle="1" w:styleId="PiedepginaCar">
    <w:name w:val="Pie de página Car"/>
    <w:basedOn w:val="Fuentedeprrafopredeter"/>
    <w:link w:val="Piedepgina"/>
    <w:uiPriority w:val="99"/>
    <w:rsid w:val="00EE7C3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3990185">
      <w:bodyDiv w:val="1"/>
      <w:marLeft w:val="0"/>
      <w:marRight w:val="0"/>
      <w:marTop w:val="0"/>
      <w:marBottom w:val="0"/>
      <w:divBdr>
        <w:top w:val="none" w:sz="0" w:space="0" w:color="auto"/>
        <w:left w:val="none" w:sz="0" w:space="0" w:color="auto"/>
        <w:bottom w:val="none" w:sz="0" w:space="0" w:color="auto"/>
        <w:right w:val="none" w:sz="0" w:space="0" w:color="auto"/>
      </w:divBdr>
    </w:div>
    <w:div w:id="15293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Poder-Judicial.g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8DC9CE-95DA-44D2-AC08-582C49BC1D82}">
  <ds:schemaRefs>
    <ds:schemaRef ds:uri="http://schemas.openxmlformats.org/officeDocument/2006/bibliography"/>
  </ds:schemaRefs>
</ds:datastoreItem>
</file>

<file path=customXml/itemProps2.xml><?xml version="1.0" encoding="utf-8"?>
<ds:datastoreItem xmlns:ds="http://schemas.openxmlformats.org/officeDocument/2006/customXml" ds:itemID="{74742452-E743-4737-92E8-5597FDCEF9CE}"/>
</file>

<file path=customXml/itemProps3.xml><?xml version="1.0" encoding="utf-8"?>
<ds:datastoreItem xmlns:ds="http://schemas.openxmlformats.org/officeDocument/2006/customXml" ds:itemID="{24259E0E-BE46-4E4A-A05F-FE2FFFCEB990}"/>
</file>

<file path=customXml/itemProps4.xml><?xml version="1.0" encoding="utf-8"?>
<ds:datastoreItem xmlns:ds="http://schemas.openxmlformats.org/officeDocument/2006/customXml" ds:itemID="{DCD9A371-E29D-4D43-A29F-CBF206DC0DA4}"/>
</file>

<file path=docProps/app.xml><?xml version="1.0" encoding="utf-8"?>
<Properties xmlns="http://schemas.openxmlformats.org/officeDocument/2006/extended-properties" xmlns:vt="http://schemas.openxmlformats.org/officeDocument/2006/docPropsVTypes">
  <Template>Normal.dotm</Template>
  <TotalTime>161</TotalTime>
  <Pages>4</Pages>
  <Words>1072</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Zeledón Gutiérrez</dc:creator>
  <cp:keywords/>
  <dc:description/>
  <cp:lastModifiedBy>Adriana Morgan Araya</cp:lastModifiedBy>
  <cp:revision>34</cp:revision>
  <dcterms:created xsi:type="dcterms:W3CDTF">2024-04-03T16:43:00Z</dcterms:created>
  <dcterms:modified xsi:type="dcterms:W3CDTF">2024-04-03T19:31:00Z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