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40" w:rsidRPr="005B4750" w:rsidRDefault="00B06C40" w:rsidP="00B06C40">
      <w:pPr>
        <w:tabs>
          <w:tab w:val="left" w:pos="3544"/>
        </w:tabs>
        <w:jc w:val="both"/>
        <w:rPr>
          <w:rFonts w:ascii="Calibri" w:hAnsi="Calibri" w:cs="Tahoma"/>
          <w:b/>
          <w:bCs/>
          <w:spacing w:val="-2"/>
          <w:sz w:val="20"/>
          <w:szCs w:val="20"/>
        </w:rPr>
      </w:pPr>
      <w:r w:rsidRPr="005B4750">
        <w:rPr>
          <w:rFonts w:ascii="Calibri" w:hAnsi="Calibri" w:cs="Tahoma"/>
          <w:b/>
          <w:bCs/>
          <w:spacing w:val="-2"/>
          <w:sz w:val="20"/>
          <w:szCs w:val="20"/>
        </w:rPr>
        <w:t>REAJUSTE DE PRECIOS</w:t>
      </w:r>
    </w:p>
    <w:p w:rsidR="00B06C40" w:rsidRPr="005B4750" w:rsidRDefault="00B06C40" w:rsidP="00B06C40">
      <w:pPr>
        <w:tabs>
          <w:tab w:val="left" w:pos="3544"/>
        </w:tabs>
        <w:jc w:val="both"/>
        <w:rPr>
          <w:rFonts w:ascii="Calibri" w:hAnsi="Calibri" w:cs="Tahoma"/>
          <w:b/>
          <w:bCs/>
          <w:spacing w:val="-2"/>
          <w:sz w:val="20"/>
          <w:szCs w:val="20"/>
        </w:rPr>
      </w:pPr>
    </w:p>
    <w:p w:rsidR="00F63241" w:rsidRPr="008514EA" w:rsidRDefault="00F63241" w:rsidP="008514EA">
      <w:pPr>
        <w:tabs>
          <w:tab w:val="left" w:pos="3544"/>
        </w:tabs>
        <w:jc w:val="both"/>
        <w:rPr>
          <w:rFonts w:ascii="Calibri" w:hAnsi="Calibri" w:cs="Tahoma"/>
          <w:sz w:val="20"/>
          <w:szCs w:val="20"/>
          <w:highlight w:val="yellow"/>
        </w:rPr>
      </w:pPr>
      <w:r w:rsidRPr="008514EA">
        <w:rPr>
          <w:rFonts w:ascii="Calibri" w:hAnsi="Calibri" w:cs="Tahoma"/>
          <w:sz w:val="20"/>
          <w:szCs w:val="20"/>
        </w:rPr>
        <w:t xml:space="preserve">Para efectos de mantener el debido equilibrio financiero del contrato, </w:t>
      </w:r>
      <w:r w:rsidRPr="008514EA">
        <w:rPr>
          <w:rFonts w:ascii="Calibri" w:hAnsi="Calibri" w:cs="Tahoma"/>
          <w:sz w:val="20"/>
          <w:szCs w:val="20"/>
          <w:lang w:val="es-CR"/>
        </w:rPr>
        <w:t>de conformidad con el artículo número 18 de la Ley de la Contratación Administrativa,</w:t>
      </w:r>
      <w:r w:rsidRPr="008514EA">
        <w:rPr>
          <w:rFonts w:ascii="Calibri" w:hAnsi="Calibri" w:cs="Tahoma"/>
          <w:sz w:val="20"/>
          <w:szCs w:val="20"/>
        </w:rPr>
        <w:t xml:space="preserve">un mecanismo de revisión de precios para efectos de reajuste de precio durante la vigencia de la relación contractual, se requerirá que el o la oferente o contratista, brinde un desglose de los elementos que componen el precio cotizado, tan exhaustivo como sea posible, de tal manera que permita a la Administración revisar en forma rápida y correcta las solicitudes de reajuste que se le planteen.  A saber, los elementos mínimos que se deberán brindar son: </w:t>
      </w:r>
    </w:p>
    <w:p w:rsidR="00F63241" w:rsidRPr="00F63241" w:rsidRDefault="00F63241" w:rsidP="00F63241">
      <w:pPr>
        <w:pStyle w:val="Sangradetextonormal"/>
        <w:tabs>
          <w:tab w:val="left" w:pos="3544"/>
        </w:tabs>
        <w:suppressAutoHyphens w:val="0"/>
        <w:spacing w:after="0"/>
        <w:jc w:val="both"/>
        <w:rPr>
          <w:rFonts w:ascii="Calibri" w:hAnsi="Calibri" w:cs="Tahoma"/>
          <w:sz w:val="20"/>
          <w:szCs w:val="20"/>
        </w:rPr>
      </w:pPr>
    </w:p>
    <w:p w:rsidR="00B06C40" w:rsidRPr="005B4750" w:rsidRDefault="00B06C40" w:rsidP="00B06C40">
      <w:pPr>
        <w:pStyle w:val="Sangradetextonormal"/>
        <w:tabs>
          <w:tab w:val="left" w:pos="3544"/>
        </w:tabs>
        <w:spacing w:after="0"/>
        <w:ind w:left="0"/>
        <w:jc w:val="both"/>
        <w:rPr>
          <w:rFonts w:ascii="Calibri" w:hAnsi="Calibri" w:cs="Tahoma"/>
          <w:sz w:val="20"/>
          <w:szCs w:val="20"/>
          <w:lang w:val="es-CR"/>
        </w:rPr>
      </w:pPr>
    </w:p>
    <w:p w:rsidR="00B06C40" w:rsidRPr="005B4750" w:rsidRDefault="00B06C40" w:rsidP="00F63241">
      <w:pPr>
        <w:pStyle w:val="Sangradetextonormal"/>
        <w:numPr>
          <w:ilvl w:val="0"/>
          <w:numId w:val="4"/>
        </w:numPr>
        <w:tabs>
          <w:tab w:val="left" w:pos="3544"/>
        </w:tabs>
        <w:suppressAutoHyphens w:val="0"/>
        <w:spacing w:after="0"/>
        <w:jc w:val="both"/>
        <w:rPr>
          <w:rFonts w:ascii="Calibri" w:hAnsi="Calibri" w:cs="Tahoma"/>
          <w:sz w:val="20"/>
          <w:szCs w:val="20"/>
          <w:lang w:val="es-CR"/>
        </w:rPr>
      </w:pPr>
      <w:r w:rsidRPr="005B4750">
        <w:rPr>
          <w:rFonts w:ascii="Calibri" w:hAnsi="Calibri" w:cs="Tahoma"/>
          <w:sz w:val="20"/>
          <w:szCs w:val="20"/>
          <w:lang w:val="es-CR"/>
        </w:rPr>
        <w:t>La fórmula de cálculo, como expresión algebraica o su método alternativo</w:t>
      </w:r>
      <w:r w:rsidR="00C508BE">
        <w:rPr>
          <w:rFonts w:ascii="Calibri" w:hAnsi="Calibri" w:cs="Tahoma"/>
          <w:sz w:val="20"/>
          <w:szCs w:val="20"/>
          <w:lang w:val="es-CR"/>
        </w:rPr>
        <w:t xml:space="preserve"> </w:t>
      </w:r>
      <w:r w:rsidR="00C508BE" w:rsidRPr="00C508BE">
        <w:rPr>
          <w:rFonts w:ascii="Calibri" w:hAnsi="Calibri" w:cs="Tahoma"/>
          <w:sz w:val="20"/>
          <w:szCs w:val="20"/>
          <w:lang w:val="es-CR"/>
        </w:rPr>
        <w:t>por la cual se determina el precio</w:t>
      </w:r>
      <w:r w:rsidRPr="00C508BE">
        <w:rPr>
          <w:rFonts w:ascii="Calibri" w:hAnsi="Calibri" w:cs="Tahoma"/>
          <w:sz w:val="20"/>
          <w:szCs w:val="20"/>
          <w:lang w:val="es-CR"/>
        </w:rPr>
        <w:t>.</w:t>
      </w:r>
      <w:r w:rsidRPr="005B4750">
        <w:rPr>
          <w:rFonts w:ascii="Calibri" w:hAnsi="Calibri" w:cs="Tahoma"/>
          <w:sz w:val="20"/>
          <w:szCs w:val="20"/>
          <w:lang w:val="es-CR"/>
        </w:rPr>
        <w:t xml:space="preserve"> </w:t>
      </w:r>
    </w:p>
    <w:p w:rsidR="00B06C40" w:rsidRPr="005B4750" w:rsidRDefault="00B06C40" w:rsidP="00F63241">
      <w:pPr>
        <w:pStyle w:val="Sangradetextonormal"/>
        <w:numPr>
          <w:ilvl w:val="0"/>
          <w:numId w:val="4"/>
        </w:numPr>
        <w:tabs>
          <w:tab w:val="left" w:pos="3544"/>
        </w:tabs>
        <w:suppressAutoHyphens w:val="0"/>
        <w:spacing w:after="0"/>
        <w:jc w:val="both"/>
        <w:rPr>
          <w:rFonts w:ascii="Calibri" w:hAnsi="Calibri" w:cs="Tahoma"/>
          <w:sz w:val="20"/>
          <w:szCs w:val="20"/>
          <w:lang w:val="es-CR"/>
        </w:rPr>
      </w:pPr>
      <w:r w:rsidRPr="005B4750">
        <w:rPr>
          <w:rFonts w:ascii="Calibri" w:hAnsi="Calibri" w:cs="Tahoma"/>
          <w:sz w:val="20"/>
          <w:szCs w:val="20"/>
          <w:lang w:val="es-CR"/>
        </w:rPr>
        <w:t>La estructura porcentual de los elementos que componen el precio, de con</w:t>
      </w:r>
      <w:r w:rsidR="00F63241">
        <w:rPr>
          <w:rFonts w:ascii="Calibri" w:hAnsi="Calibri" w:cs="Tahoma"/>
          <w:sz w:val="20"/>
          <w:szCs w:val="20"/>
          <w:lang w:val="es-CR"/>
        </w:rPr>
        <w:t xml:space="preserve">formidad con el artículo </w:t>
      </w:r>
      <w:r w:rsidRPr="005B4750">
        <w:rPr>
          <w:rFonts w:ascii="Calibri" w:hAnsi="Calibri" w:cs="Tahoma"/>
          <w:sz w:val="20"/>
          <w:szCs w:val="20"/>
          <w:lang w:val="es-CR"/>
        </w:rPr>
        <w:t xml:space="preserve">26 del Reglamento a la Ley de Contratación Administrativa. </w:t>
      </w:r>
    </w:p>
    <w:p w:rsidR="00B06C40" w:rsidRPr="005B4750" w:rsidRDefault="00B06C40" w:rsidP="00F63241">
      <w:pPr>
        <w:pStyle w:val="Sangradetextonormal"/>
        <w:numPr>
          <w:ilvl w:val="0"/>
          <w:numId w:val="4"/>
        </w:numPr>
        <w:tabs>
          <w:tab w:val="left" w:pos="3544"/>
        </w:tabs>
        <w:suppressAutoHyphens w:val="0"/>
        <w:spacing w:after="0"/>
        <w:jc w:val="both"/>
        <w:rPr>
          <w:rFonts w:ascii="Calibri" w:hAnsi="Calibri" w:cs="Tahoma"/>
          <w:sz w:val="20"/>
          <w:szCs w:val="20"/>
          <w:lang w:val="es-CR"/>
        </w:rPr>
      </w:pPr>
      <w:r w:rsidRPr="005B4750">
        <w:rPr>
          <w:rFonts w:ascii="Calibri" w:hAnsi="Calibri" w:cs="Tahoma"/>
          <w:sz w:val="20"/>
          <w:szCs w:val="20"/>
          <w:lang w:val="es-CR"/>
        </w:rPr>
        <w:t>La identificación de los índices de precios a aplicar, con especificación del índice, el nombre de la institución que lo elabora y publica, así como el capítulo, nivel y/o renglón específico que se utilizará.</w:t>
      </w:r>
    </w:p>
    <w:p w:rsidR="00B06C40" w:rsidRPr="005B4750" w:rsidRDefault="00B06C40" w:rsidP="00B06C40">
      <w:pPr>
        <w:pStyle w:val="Sangradetextonormal"/>
        <w:tabs>
          <w:tab w:val="left" w:pos="3544"/>
        </w:tabs>
        <w:spacing w:after="0"/>
        <w:ind w:left="0"/>
        <w:jc w:val="both"/>
        <w:rPr>
          <w:rFonts w:ascii="Calibri" w:hAnsi="Calibri" w:cs="Tahoma"/>
          <w:sz w:val="20"/>
          <w:szCs w:val="20"/>
          <w:lang w:val="es-CR"/>
        </w:rPr>
      </w:pPr>
    </w:p>
    <w:p w:rsidR="00B06C40" w:rsidRPr="005B4750" w:rsidRDefault="00B06C40" w:rsidP="00B06C40">
      <w:pPr>
        <w:pStyle w:val="Sangradetextonormal"/>
        <w:tabs>
          <w:tab w:val="left" w:pos="3544"/>
        </w:tabs>
        <w:spacing w:after="0"/>
        <w:ind w:left="0"/>
        <w:jc w:val="both"/>
        <w:rPr>
          <w:rFonts w:ascii="Calibri" w:hAnsi="Calibri" w:cs="Tahoma"/>
          <w:sz w:val="20"/>
          <w:szCs w:val="20"/>
          <w:lang w:val="es-CR"/>
        </w:rPr>
      </w:pPr>
      <w:r w:rsidRPr="005B4750">
        <w:rPr>
          <w:rFonts w:ascii="Calibri" w:hAnsi="Calibri" w:cs="Tahoma"/>
          <w:sz w:val="20"/>
          <w:szCs w:val="20"/>
          <w:lang w:val="es-CR"/>
        </w:rPr>
        <w:t xml:space="preserve">No obstante lo anterior, es claro que podrá adoptarse un mecanismo de revisión de precios para efectos de reajuste durante la vigencia de la relación contractual, estando en curso de ejecución el contrato, por convenio de las partes y con vigencia hacia el futuro. </w:t>
      </w:r>
    </w:p>
    <w:p w:rsidR="00B06C40" w:rsidRPr="005B4750" w:rsidRDefault="00B06C40" w:rsidP="00B06C40">
      <w:pPr>
        <w:pStyle w:val="Sangradetextonormal"/>
        <w:tabs>
          <w:tab w:val="left" w:pos="3544"/>
        </w:tabs>
        <w:spacing w:after="0"/>
        <w:ind w:left="0"/>
        <w:jc w:val="both"/>
        <w:rPr>
          <w:rFonts w:ascii="Calibri" w:hAnsi="Calibri" w:cs="Tahoma"/>
          <w:sz w:val="20"/>
          <w:szCs w:val="20"/>
          <w:lang w:val="es-CR"/>
        </w:rPr>
      </w:pPr>
    </w:p>
    <w:p w:rsidR="00B06C40" w:rsidRPr="005B4750" w:rsidRDefault="00B06C40" w:rsidP="00B06C40">
      <w:pPr>
        <w:pStyle w:val="Sangradetextonormal"/>
        <w:tabs>
          <w:tab w:val="left" w:pos="3544"/>
        </w:tabs>
        <w:spacing w:after="0"/>
        <w:ind w:left="0"/>
        <w:jc w:val="both"/>
        <w:rPr>
          <w:rFonts w:ascii="Calibri" w:hAnsi="Calibri" w:cs="Tahoma"/>
          <w:sz w:val="20"/>
          <w:szCs w:val="20"/>
          <w:u w:val="single"/>
          <w:lang w:val="es-CR"/>
        </w:rPr>
      </w:pPr>
      <w:r w:rsidRPr="005B4750">
        <w:rPr>
          <w:rFonts w:ascii="Calibri" w:hAnsi="Calibri" w:cs="Tahoma"/>
          <w:sz w:val="20"/>
          <w:szCs w:val="20"/>
          <w:u w:val="single"/>
          <w:lang w:val="es-CR"/>
        </w:rPr>
        <w:t xml:space="preserve">Las solicitudes de reajuste de precio, se deberán presentar ante la recepción del Departamento de Proveeduría, firmadas por el representante legal de la empresa o persona que suscribe la oferta, así como indicar específicamente, el período que se solicita reajustar a efectos del desequilibrio económico. </w:t>
      </w:r>
    </w:p>
    <w:p w:rsidR="00B06C40" w:rsidRPr="005B4750" w:rsidRDefault="00B06C40" w:rsidP="00B06C40">
      <w:pPr>
        <w:pStyle w:val="Sangradetextonormal"/>
        <w:tabs>
          <w:tab w:val="left" w:pos="3544"/>
        </w:tabs>
        <w:spacing w:after="0"/>
        <w:ind w:left="0"/>
        <w:jc w:val="both"/>
        <w:rPr>
          <w:rFonts w:ascii="Calibri" w:hAnsi="Calibri" w:cs="Tahoma"/>
          <w:sz w:val="20"/>
          <w:szCs w:val="20"/>
          <w:u w:val="single"/>
          <w:lang w:val="es-CR"/>
        </w:rPr>
      </w:pPr>
    </w:p>
    <w:p w:rsidR="00B06C40" w:rsidRPr="005B4750" w:rsidRDefault="00B06C40" w:rsidP="00B06C40">
      <w:pPr>
        <w:pStyle w:val="Sangradetextonormal"/>
        <w:tabs>
          <w:tab w:val="left" w:pos="3544"/>
        </w:tabs>
        <w:spacing w:after="0"/>
        <w:ind w:left="0"/>
        <w:jc w:val="both"/>
        <w:rPr>
          <w:rFonts w:ascii="Calibri" w:hAnsi="Calibri" w:cs="Tahoma"/>
          <w:sz w:val="20"/>
          <w:szCs w:val="20"/>
          <w:lang w:val="es-CR"/>
        </w:rPr>
      </w:pPr>
      <w:r w:rsidRPr="005B4750">
        <w:rPr>
          <w:rFonts w:ascii="Calibri" w:hAnsi="Calibri" w:cs="Tahoma"/>
          <w:sz w:val="20"/>
          <w:szCs w:val="20"/>
          <w:lang w:val="es-CR"/>
        </w:rPr>
        <w:t xml:space="preserve">Asimismo se advierte, por regla de principio; según los lineamientos de </w:t>
      </w:r>
      <w:smartTag w:uri="urn:schemas-microsoft-com:office:smarttags" w:element="PersonName">
        <w:smartTagPr>
          <w:attr w:name="ProductID" w:val="la Contralor￭a General"/>
        </w:smartTagPr>
        <w:r w:rsidRPr="005B4750">
          <w:rPr>
            <w:rFonts w:ascii="Calibri" w:hAnsi="Calibri" w:cs="Tahoma"/>
            <w:sz w:val="20"/>
            <w:szCs w:val="20"/>
            <w:lang w:val="es-CR"/>
          </w:rPr>
          <w:t>la Contraloría General</w:t>
        </w:r>
      </w:smartTag>
      <w:r w:rsidRPr="005B4750">
        <w:rPr>
          <w:rFonts w:ascii="Calibri" w:hAnsi="Calibri" w:cs="Tahoma"/>
          <w:sz w:val="20"/>
          <w:szCs w:val="20"/>
          <w:lang w:val="es-CR"/>
        </w:rPr>
        <w:t xml:space="preserve"> de </w:t>
      </w:r>
      <w:smartTag w:uri="urn:schemas-microsoft-com:office:smarttags" w:element="PersonName">
        <w:smartTagPr>
          <w:attr w:name="ProductID" w:val="la Corrupci￳n"/>
        </w:smartTagPr>
        <w:r w:rsidRPr="005B4750">
          <w:rPr>
            <w:rFonts w:ascii="Calibri" w:hAnsi="Calibri" w:cs="Tahoma"/>
            <w:sz w:val="20"/>
            <w:szCs w:val="20"/>
            <w:lang w:val="es-CR"/>
          </w:rPr>
          <w:t>la República</w:t>
        </w:r>
      </w:smartTag>
      <w:r w:rsidRPr="005B4750">
        <w:rPr>
          <w:rFonts w:ascii="Calibri" w:hAnsi="Calibri" w:cs="Tahoma"/>
          <w:sz w:val="20"/>
          <w:szCs w:val="20"/>
          <w:lang w:val="es-CR"/>
        </w:rPr>
        <w:t xml:space="preserve">, que serán procedentes los mecanismos de reajustes, únicamente en caso de cotizaciones en moneda nacional (colones costarricenses), salvo casos excepcionales de reclamo administrativo que justifique y demuestre debidamente el o la contratista, cuya aceptación definitiva estará supeditada no solo a la aprobación de </w:t>
      </w:r>
      <w:smartTag w:uri="urn:schemas-microsoft-com:office:smarttags" w:element="PersonName">
        <w:smartTagPr>
          <w:attr w:name="ProductID" w:val="la Administraci￳n."/>
        </w:smartTagPr>
        <w:r w:rsidRPr="005B4750">
          <w:rPr>
            <w:rFonts w:ascii="Calibri" w:hAnsi="Calibri" w:cs="Tahoma"/>
            <w:sz w:val="20"/>
            <w:szCs w:val="20"/>
            <w:lang w:val="es-CR"/>
          </w:rPr>
          <w:t>la Administración.</w:t>
        </w:r>
      </w:smartTag>
    </w:p>
    <w:p w:rsidR="00B06C40" w:rsidRPr="005B4750" w:rsidRDefault="00B06C40" w:rsidP="00B06C40">
      <w:pPr>
        <w:pStyle w:val="Sangradetextonormal"/>
        <w:tabs>
          <w:tab w:val="left" w:pos="3544"/>
        </w:tabs>
        <w:spacing w:after="0"/>
        <w:ind w:left="0"/>
        <w:jc w:val="both"/>
        <w:rPr>
          <w:rFonts w:ascii="Calibri" w:hAnsi="Calibri" w:cs="Tahoma"/>
          <w:sz w:val="20"/>
          <w:szCs w:val="20"/>
          <w:lang w:val="es-CR"/>
        </w:rPr>
      </w:pPr>
    </w:p>
    <w:p w:rsidR="00B06C40" w:rsidRPr="005B4750" w:rsidRDefault="00B06C40" w:rsidP="00B06C40">
      <w:pPr>
        <w:pStyle w:val="Sangradetextonormal"/>
        <w:tabs>
          <w:tab w:val="left" w:pos="3544"/>
        </w:tabs>
        <w:spacing w:after="0"/>
        <w:ind w:left="0"/>
        <w:jc w:val="both"/>
        <w:rPr>
          <w:rFonts w:ascii="Calibri" w:hAnsi="Calibri" w:cs="Tahoma"/>
          <w:i/>
          <w:iCs/>
          <w:sz w:val="20"/>
          <w:szCs w:val="20"/>
          <w:lang w:val="es-CR"/>
        </w:rPr>
      </w:pPr>
      <w:r w:rsidRPr="005B4750">
        <w:rPr>
          <w:rFonts w:ascii="Calibri" w:hAnsi="Calibri" w:cs="Tahoma"/>
          <w:i/>
          <w:iCs/>
          <w:sz w:val="20"/>
          <w:szCs w:val="20"/>
          <w:lang w:val="es-CR"/>
        </w:rPr>
        <w:t xml:space="preserve">A modo de ejemplo, respecto al inciso c) anterior, los índices oficiales de precios en que se basa el precio cotizado y las fuentes de los mismos, podrían ser: </w:t>
      </w:r>
      <w:r w:rsidRPr="005B4750">
        <w:rPr>
          <w:rFonts w:ascii="Calibri" w:hAnsi="Calibri" w:cs="Tahoma"/>
          <w:b/>
          <w:bCs/>
          <w:i/>
          <w:iCs/>
          <w:sz w:val="20"/>
          <w:szCs w:val="20"/>
          <w:lang w:val="es-CR"/>
        </w:rPr>
        <w:t>a)</w:t>
      </w:r>
      <w:r w:rsidRPr="005B4750">
        <w:rPr>
          <w:rFonts w:ascii="Calibri" w:hAnsi="Calibri" w:cs="Tahoma"/>
          <w:i/>
          <w:iCs/>
          <w:sz w:val="20"/>
          <w:szCs w:val="20"/>
          <w:lang w:val="es-CR"/>
        </w:rPr>
        <w:t xml:space="preserve"> Mano de obra: Decreto de Salarios Mínimos emitido por el Ministerio de Trabajo y publicado en el Diario Oficial La Gaceta semestralmente, específicamente en el Capítulo II “Genéricos”, renglón correspondiente a Trabajadores Semicalificados; </w:t>
      </w:r>
      <w:r w:rsidRPr="005B4750">
        <w:rPr>
          <w:rFonts w:ascii="Calibri" w:hAnsi="Calibri" w:cs="Tahoma"/>
          <w:b/>
          <w:bCs/>
          <w:i/>
          <w:iCs/>
          <w:sz w:val="20"/>
          <w:szCs w:val="20"/>
          <w:lang w:val="es-CR"/>
        </w:rPr>
        <w:t>b)</w:t>
      </w:r>
      <w:r w:rsidRPr="005B4750">
        <w:rPr>
          <w:rFonts w:ascii="Calibri" w:hAnsi="Calibri" w:cs="Tahoma"/>
          <w:i/>
          <w:iCs/>
          <w:sz w:val="20"/>
          <w:szCs w:val="20"/>
          <w:lang w:val="es-CR"/>
        </w:rPr>
        <w:t xml:space="preserve"> Gastos Administrativos: Índice de Precios al Consumidor, renglón “General”, </w:t>
      </w:r>
      <w:r w:rsidRPr="005B4750">
        <w:rPr>
          <w:rFonts w:ascii="Calibri" w:hAnsi="Calibri" w:cs="Tahoma"/>
          <w:b/>
          <w:bCs/>
          <w:i/>
          <w:iCs/>
          <w:sz w:val="20"/>
          <w:szCs w:val="20"/>
          <w:lang w:val="es-CR"/>
        </w:rPr>
        <w:t>c)</w:t>
      </w:r>
      <w:r w:rsidRPr="005B4750">
        <w:rPr>
          <w:rFonts w:ascii="Calibri" w:hAnsi="Calibri" w:cs="Tahoma"/>
          <w:i/>
          <w:iCs/>
          <w:sz w:val="20"/>
          <w:szCs w:val="20"/>
          <w:lang w:val="es-CR"/>
        </w:rPr>
        <w:t xml:space="preserve"> Insumos: Índice de precios al productor Industrial, renglón “general” emitidos por el Instituto Nacional de  Estadística y Censos y publicados en la página web del Banco Central de Costa Rica, o Índice de precios de servicios, emitido y publicado por esa misma entidad.  (</w:t>
      </w:r>
      <w:r w:rsidRPr="005B4750">
        <w:rPr>
          <w:rFonts w:ascii="Calibri" w:hAnsi="Calibri" w:cs="Tahoma"/>
          <w:b/>
          <w:bCs/>
          <w:i/>
          <w:iCs/>
          <w:sz w:val="20"/>
          <w:szCs w:val="20"/>
          <w:lang w:val="es-CR"/>
        </w:rPr>
        <w:t>Nota:</w:t>
      </w:r>
      <w:r w:rsidRPr="005B4750">
        <w:rPr>
          <w:rFonts w:ascii="Calibri" w:hAnsi="Calibri" w:cs="Tahoma"/>
          <w:i/>
          <w:iCs/>
          <w:sz w:val="20"/>
          <w:szCs w:val="20"/>
          <w:lang w:val="es-CR"/>
        </w:rPr>
        <w:t xml:space="preserve"> Para las solicitudes de reajuste de precio, se debe aportar fotocopia de los índices de precios utilizados, así como copia de los decretos de Salarios Mínimos publicados en </w:t>
      </w:r>
      <w:smartTag w:uri="urn:schemas-microsoft-com:office:smarttags" w:element="PersonName">
        <w:smartTagPr>
          <w:attr w:name="ProductID" w:val="La Gaceta."/>
        </w:smartTagPr>
        <w:r w:rsidRPr="005B4750">
          <w:rPr>
            <w:rFonts w:ascii="Calibri" w:hAnsi="Calibri" w:cs="Tahoma"/>
            <w:i/>
            <w:iCs/>
            <w:sz w:val="20"/>
            <w:szCs w:val="20"/>
            <w:lang w:val="es-CR"/>
          </w:rPr>
          <w:t>La Gaceta.</w:t>
        </w:r>
      </w:smartTag>
      <w:r w:rsidRPr="005B4750">
        <w:rPr>
          <w:rFonts w:ascii="Calibri" w:hAnsi="Calibri" w:cs="Tahoma"/>
          <w:i/>
          <w:iCs/>
          <w:sz w:val="20"/>
          <w:szCs w:val="20"/>
          <w:lang w:val="es-CR"/>
        </w:rPr>
        <w:t>)</w:t>
      </w:r>
    </w:p>
    <w:p w:rsidR="00B06C40" w:rsidRPr="005B4750" w:rsidRDefault="00B06C40" w:rsidP="00B06C40">
      <w:pPr>
        <w:pStyle w:val="Sangradetextonormal"/>
        <w:tabs>
          <w:tab w:val="left" w:pos="3544"/>
        </w:tabs>
        <w:spacing w:after="0"/>
        <w:ind w:left="0"/>
        <w:jc w:val="both"/>
        <w:rPr>
          <w:rFonts w:ascii="Calibri" w:hAnsi="Calibri" w:cs="Tahoma"/>
          <w:sz w:val="20"/>
          <w:szCs w:val="20"/>
          <w:lang w:val="es-CR"/>
        </w:rPr>
      </w:pPr>
    </w:p>
    <w:p w:rsidR="00B06C40" w:rsidRPr="005B4750" w:rsidRDefault="00B06C40" w:rsidP="00F63241">
      <w:pPr>
        <w:pStyle w:val="Sangradetextonormal"/>
        <w:numPr>
          <w:ilvl w:val="1"/>
          <w:numId w:val="5"/>
        </w:numPr>
        <w:tabs>
          <w:tab w:val="left" w:pos="3544"/>
        </w:tabs>
        <w:suppressAutoHyphens w:val="0"/>
        <w:spacing w:after="0"/>
        <w:ind w:left="1276" w:right="283" w:hanging="425"/>
        <w:jc w:val="both"/>
        <w:rPr>
          <w:rFonts w:ascii="Calibri" w:hAnsi="Calibri" w:cs="Tahoma"/>
          <w:sz w:val="20"/>
          <w:szCs w:val="20"/>
          <w:lang w:val="es-CR"/>
        </w:rPr>
      </w:pPr>
      <w:r w:rsidRPr="005B4750">
        <w:rPr>
          <w:rFonts w:ascii="Calibri" w:hAnsi="Calibri" w:cs="Tahoma"/>
          <w:sz w:val="20"/>
          <w:szCs w:val="20"/>
          <w:lang w:val="es-CR"/>
        </w:rPr>
        <w:t>La solicitud de reajuste tendrá efecto a partir del momento en que una de las partes demuestre desequilibrio financiero en el contrato.  Aplican índices mensuales; sin embargo, para el pago de fracciones o días, se podrán utilizar proporciones.</w:t>
      </w:r>
    </w:p>
    <w:p w:rsidR="00B06C40" w:rsidRPr="005B4750" w:rsidRDefault="00B06C40" w:rsidP="00F63241">
      <w:pPr>
        <w:pStyle w:val="Sangradetextonormal"/>
        <w:numPr>
          <w:ilvl w:val="1"/>
          <w:numId w:val="5"/>
        </w:numPr>
        <w:tabs>
          <w:tab w:val="left" w:pos="3544"/>
        </w:tabs>
        <w:suppressAutoHyphens w:val="0"/>
        <w:spacing w:after="0"/>
        <w:ind w:left="1276" w:right="283" w:hanging="425"/>
        <w:jc w:val="both"/>
        <w:rPr>
          <w:rFonts w:ascii="Calibri" w:hAnsi="Calibri" w:cs="Tahoma"/>
          <w:sz w:val="20"/>
          <w:szCs w:val="20"/>
          <w:lang w:val="es-CR"/>
        </w:rPr>
      </w:pPr>
      <w:r w:rsidRPr="005B4750">
        <w:rPr>
          <w:rFonts w:ascii="Calibri" w:hAnsi="Calibri" w:cs="Tahoma"/>
          <w:sz w:val="20"/>
          <w:szCs w:val="20"/>
          <w:lang w:val="es-CR"/>
        </w:rPr>
        <w:t>El tiempo máximo que demandará a la Administración el estudio y resolución de la gestión de reajuste debidamente formulada será de un mes</w:t>
      </w:r>
      <w:r w:rsidR="00F63241">
        <w:rPr>
          <w:rFonts w:ascii="Calibri" w:hAnsi="Calibri" w:cs="Tahoma"/>
          <w:sz w:val="20"/>
          <w:szCs w:val="20"/>
          <w:lang w:val="es-CR"/>
        </w:rPr>
        <w:t>.</w:t>
      </w:r>
    </w:p>
    <w:p w:rsidR="00B06C40" w:rsidRPr="005B4750" w:rsidRDefault="00B06C40" w:rsidP="00F63241">
      <w:pPr>
        <w:pStyle w:val="Sangradetextonormal"/>
        <w:numPr>
          <w:ilvl w:val="1"/>
          <w:numId w:val="5"/>
        </w:numPr>
        <w:tabs>
          <w:tab w:val="left" w:pos="3544"/>
        </w:tabs>
        <w:suppressAutoHyphens w:val="0"/>
        <w:spacing w:after="0"/>
        <w:ind w:left="1276" w:right="283" w:hanging="425"/>
        <w:jc w:val="both"/>
        <w:rPr>
          <w:rFonts w:ascii="Calibri" w:hAnsi="Calibri" w:cs="Tahoma"/>
          <w:sz w:val="20"/>
          <w:szCs w:val="20"/>
          <w:lang w:val="es-CR"/>
        </w:rPr>
      </w:pPr>
      <w:r w:rsidRPr="005B4750">
        <w:rPr>
          <w:rFonts w:ascii="Calibri" w:hAnsi="Calibri" w:cs="Tahoma"/>
          <w:sz w:val="20"/>
          <w:szCs w:val="20"/>
          <w:lang w:val="es-CR"/>
        </w:rPr>
        <w:t>Por regla de principio, los contratos en moneda extranjera, tal como el dólar, no se reajustan.  No obstante, en casos excepcionales ello será posible si se prueba un desequilibrio financiero en el contrato, originado por variación en los costos en el país de origen de los productos.</w:t>
      </w:r>
    </w:p>
    <w:p w:rsidR="00B06C40" w:rsidRPr="005B4750" w:rsidRDefault="00B06C40" w:rsidP="00F63241">
      <w:pPr>
        <w:pStyle w:val="Sangradetextonormal"/>
        <w:tabs>
          <w:tab w:val="num" w:pos="1134"/>
          <w:tab w:val="left" w:pos="3544"/>
        </w:tabs>
        <w:spacing w:after="0"/>
        <w:ind w:left="1276" w:right="283" w:hanging="425"/>
        <w:jc w:val="both"/>
        <w:rPr>
          <w:rFonts w:ascii="Calibri" w:hAnsi="Calibri" w:cs="Tahoma"/>
          <w:sz w:val="20"/>
          <w:szCs w:val="20"/>
          <w:lang w:val="es-CR"/>
        </w:rPr>
      </w:pPr>
    </w:p>
    <w:p w:rsidR="00B06C40" w:rsidRPr="005B4750" w:rsidRDefault="00B06C40" w:rsidP="00F63241">
      <w:pPr>
        <w:pStyle w:val="Sangradetextonormal"/>
        <w:numPr>
          <w:ilvl w:val="1"/>
          <w:numId w:val="5"/>
        </w:numPr>
        <w:tabs>
          <w:tab w:val="left" w:pos="3544"/>
        </w:tabs>
        <w:suppressAutoHyphens w:val="0"/>
        <w:spacing w:after="0"/>
        <w:ind w:left="1276" w:right="283" w:hanging="425"/>
        <w:jc w:val="both"/>
        <w:rPr>
          <w:rFonts w:ascii="Calibri" w:hAnsi="Calibri" w:cs="Tahoma"/>
          <w:sz w:val="20"/>
          <w:szCs w:val="20"/>
          <w:lang w:val="es-CR"/>
        </w:rPr>
      </w:pPr>
      <w:r w:rsidRPr="005B4750">
        <w:rPr>
          <w:rFonts w:ascii="Calibri" w:hAnsi="Calibri" w:cs="Tahoma"/>
          <w:sz w:val="20"/>
          <w:szCs w:val="20"/>
          <w:lang w:val="es-CR"/>
        </w:rPr>
        <w:lastRenderedPageBreak/>
        <w:t>La fórmula matemática de aplicación puede variarse en el caso de aquellos contratos donde alguno de los componentes no sea aplicable, a modo de ejemplo, en algunos contratos de servicios es posible que no apliquen insumos, por lo que en ese caso, se eliminaría el factor “I” (insumos):</w:t>
      </w:r>
    </w:p>
    <w:p w:rsidR="00B06C40" w:rsidRPr="005B4750" w:rsidRDefault="00B06C40" w:rsidP="00B06C40">
      <w:pPr>
        <w:pStyle w:val="Sangradetextonormal"/>
        <w:tabs>
          <w:tab w:val="left" w:pos="3544"/>
        </w:tabs>
        <w:spacing w:after="0"/>
        <w:ind w:left="0"/>
        <w:jc w:val="both"/>
        <w:rPr>
          <w:rFonts w:ascii="Calibri" w:hAnsi="Calibri" w:cs="Tahoma"/>
          <w:sz w:val="20"/>
          <w:szCs w:val="20"/>
          <w:lang w:val="es-CR"/>
        </w:rPr>
      </w:pPr>
    </w:p>
    <w:p w:rsidR="00B06C40" w:rsidRPr="005B4750" w:rsidRDefault="00B06C40" w:rsidP="00B06C40">
      <w:pPr>
        <w:pStyle w:val="Sangradetextonormal"/>
        <w:tabs>
          <w:tab w:val="left" w:pos="3544"/>
        </w:tabs>
        <w:spacing w:after="0"/>
        <w:ind w:left="0"/>
        <w:jc w:val="both"/>
        <w:rPr>
          <w:rFonts w:ascii="Calibri" w:hAnsi="Calibri" w:cs="Tahoma"/>
          <w:sz w:val="20"/>
          <w:szCs w:val="20"/>
          <w:lang w:val="es-CR"/>
        </w:rPr>
      </w:pPr>
    </w:p>
    <w:p w:rsidR="00B06C40" w:rsidRPr="005B4750" w:rsidRDefault="00B06C40" w:rsidP="00B06C40">
      <w:pPr>
        <w:pStyle w:val="bodytext2"/>
        <w:tabs>
          <w:tab w:val="left" w:pos="3544"/>
        </w:tabs>
        <w:rPr>
          <w:rFonts w:ascii="Calibri" w:hAnsi="Calibri" w:cs="Tahoma"/>
          <w:bCs/>
          <w:sz w:val="20"/>
          <w:szCs w:val="20"/>
          <w:u w:val="single"/>
          <w:lang w:val="es-ES_tradnl"/>
        </w:rPr>
      </w:pPr>
      <w:r w:rsidRPr="005B4750">
        <w:rPr>
          <w:rFonts w:ascii="Calibri" w:hAnsi="Calibri" w:cs="Tahoma"/>
          <w:bCs/>
          <w:sz w:val="20"/>
          <w:szCs w:val="20"/>
          <w:u w:val="single"/>
          <w:lang w:val="es-ES_tradnl"/>
        </w:rPr>
        <w:t>Fórmula matemática:</w:t>
      </w:r>
    </w:p>
    <w:p w:rsidR="00B06C40" w:rsidRPr="005B4750" w:rsidRDefault="00422E8C" w:rsidP="00B06C40">
      <w:pPr>
        <w:shd w:val="clear" w:color="auto" w:fill="FFFFFF"/>
        <w:tabs>
          <w:tab w:val="left" w:pos="3544"/>
        </w:tabs>
        <w:autoSpaceDE w:val="0"/>
        <w:jc w:val="both"/>
        <w:rPr>
          <w:rFonts w:ascii="Calibri" w:hAnsi="Calibri" w:cs="Tahoma"/>
          <w:sz w:val="20"/>
          <w:szCs w:val="20"/>
        </w:rPr>
      </w:pPr>
      <w:r>
        <w:rPr>
          <w:rFonts w:ascii="Calibri" w:hAnsi="Calibri" w:cs="Tahoma"/>
          <w:noProof/>
          <w:position w:val="-3"/>
          <w:sz w:val="20"/>
          <w:szCs w:val="20"/>
          <w:lang w:val="es-CR" w:eastAsia="es-CR"/>
        </w:rPr>
      </w:r>
      <w:r>
        <w:rPr>
          <w:rFonts w:ascii="Calibri" w:hAnsi="Calibri" w:cs="Tahoma"/>
          <w:noProof/>
          <w:position w:val="-3"/>
          <w:sz w:val="20"/>
          <w:szCs w:val="20"/>
          <w:lang w:val="es-CR" w:eastAsia="es-CR"/>
        </w:rPr>
        <w:pict>
          <v:rect id="Rectángulo 1" o:spid="_x0000_s1027" style="width:.45pt;height:.45pt;visibility:visible;mso-wrap-style:square;mso-left-percent:-10001;mso-top-percent:-10001;mso-position-horizontal:absolute;mso-position-horizontal-relative:char;mso-position-vertical:absolute;mso-position-vertical-relative:line;mso-left-percent:-10001;mso-top-percent:-10001;v-text-anchor:top" stroked="f">
            <v:fill opacity="0"/>
            <o:lock v:ext="edit" aspectratio="t"/>
            <v:textbox inset="0,0,0,0"/>
            <w10:wrap type="none"/>
            <w10:anchorlock/>
          </v:rect>
        </w:pict>
      </w:r>
    </w:p>
    <w:p w:rsidR="00B06C40" w:rsidRPr="005B4750" w:rsidRDefault="00B06C40" w:rsidP="00B06C40">
      <w:pPr>
        <w:tabs>
          <w:tab w:val="left" w:pos="3544"/>
        </w:tabs>
        <w:jc w:val="center"/>
        <w:rPr>
          <w:rFonts w:ascii="Calibri" w:hAnsi="Calibri" w:cs="Tahoma"/>
          <w:b/>
          <w:sz w:val="20"/>
          <w:szCs w:val="20"/>
        </w:rPr>
      </w:pPr>
      <w:r w:rsidRPr="005B4750">
        <w:rPr>
          <w:rFonts w:ascii="Calibri" w:hAnsi="Calibri" w:cs="Tahoma"/>
          <w:b/>
          <w:sz w:val="20"/>
          <w:szCs w:val="20"/>
        </w:rPr>
        <w:t>P= MO + i + GA + U</w:t>
      </w:r>
    </w:p>
    <w:p w:rsidR="00B06C40" w:rsidRPr="005B4750" w:rsidRDefault="00B06C40" w:rsidP="00B06C40">
      <w:pPr>
        <w:shd w:val="clear" w:color="auto" w:fill="FFFFFF"/>
        <w:tabs>
          <w:tab w:val="left" w:pos="3544"/>
        </w:tabs>
        <w:autoSpaceDE w:val="0"/>
        <w:jc w:val="both"/>
        <w:rPr>
          <w:rFonts w:ascii="Calibri" w:hAnsi="Calibri" w:cs="Tahoma"/>
          <w:sz w:val="20"/>
          <w:szCs w:val="20"/>
        </w:rPr>
      </w:pPr>
    </w:p>
    <w:tbl>
      <w:tblPr>
        <w:tblW w:w="0" w:type="auto"/>
        <w:jc w:val="center"/>
        <w:tblLayout w:type="fixed"/>
        <w:tblLook w:val="0000" w:firstRow="0" w:lastRow="0" w:firstColumn="0" w:lastColumn="0" w:noHBand="0" w:noVBand="0"/>
      </w:tblPr>
      <w:tblGrid>
        <w:gridCol w:w="851"/>
        <w:gridCol w:w="409"/>
        <w:gridCol w:w="6503"/>
      </w:tblGrid>
      <w:tr w:rsidR="00B06C40" w:rsidRPr="005B4750" w:rsidTr="004A6911">
        <w:trPr>
          <w:jc w:val="center"/>
        </w:trPr>
        <w:tc>
          <w:tcPr>
            <w:tcW w:w="851" w:type="dxa"/>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P</w:t>
            </w:r>
          </w:p>
        </w:tc>
        <w:tc>
          <w:tcPr>
            <w:tcW w:w="409" w:type="dxa"/>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6503" w:type="dxa"/>
            <w:tcMar>
              <w:left w:w="0" w:type="dxa"/>
              <w:right w:w="0" w:type="dxa"/>
            </w:tcMar>
          </w:tcPr>
          <w:p w:rsidR="00B06C40" w:rsidRPr="005B4750" w:rsidRDefault="00B06C40" w:rsidP="004A6911">
            <w:pPr>
              <w:tabs>
                <w:tab w:val="left" w:pos="3544"/>
              </w:tabs>
              <w:snapToGrid w:val="0"/>
              <w:rPr>
                <w:rFonts w:ascii="Calibri" w:hAnsi="Calibri" w:cs="Tahoma"/>
                <w:sz w:val="20"/>
                <w:szCs w:val="20"/>
              </w:rPr>
            </w:pPr>
            <w:r w:rsidRPr="005B4750">
              <w:rPr>
                <w:rFonts w:ascii="Calibri" w:hAnsi="Calibri" w:cs="Tahoma"/>
                <w:sz w:val="20"/>
                <w:szCs w:val="20"/>
              </w:rPr>
              <w:t>100% referido al precio de cotización</w:t>
            </w:r>
          </w:p>
        </w:tc>
      </w:tr>
      <w:tr w:rsidR="00B06C40" w:rsidRPr="005B4750" w:rsidTr="004A6911">
        <w:trPr>
          <w:jc w:val="center"/>
        </w:trPr>
        <w:tc>
          <w:tcPr>
            <w:tcW w:w="851" w:type="dxa"/>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MO</w:t>
            </w:r>
          </w:p>
        </w:tc>
        <w:tc>
          <w:tcPr>
            <w:tcW w:w="409" w:type="dxa"/>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6503" w:type="dxa"/>
            <w:tcMar>
              <w:left w:w="0" w:type="dxa"/>
              <w:right w:w="0" w:type="dxa"/>
            </w:tcMar>
          </w:tcPr>
          <w:p w:rsidR="00B06C40" w:rsidRPr="005B4750" w:rsidRDefault="00B06C40" w:rsidP="004A6911">
            <w:pPr>
              <w:tabs>
                <w:tab w:val="left" w:pos="3544"/>
              </w:tabs>
              <w:snapToGrid w:val="0"/>
              <w:rPr>
                <w:rFonts w:ascii="Calibri" w:hAnsi="Calibri" w:cs="Tahoma"/>
                <w:sz w:val="20"/>
                <w:szCs w:val="20"/>
              </w:rPr>
            </w:pPr>
            <w:r w:rsidRPr="005B4750">
              <w:rPr>
                <w:rFonts w:ascii="Calibri" w:hAnsi="Calibri" w:cs="Tahoma"/>
                <w:sz w:val="20"/>
                <w:szCs w:val="20"/>
              </w:rPr>
              <w:t>porcentaje de costo de mano de obra del precio de cotización</w:t>
            </w:r>
          </w:p>
        </w:tc>
      </w:tr>
      <w:tr w:rsidR="00B06C40" w:rsidRPr="005B4750" w:rsidTr="004A6911">
        <w:trPr>
          <w:jc w:val="center"/>
        </w:trPr>
        <w:tc>
          <w:tcPr>
            <w:tcW w:w="851" w:type="dxa"/>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I</w:t>
            </w:r>
          </w:p>
        </w:tc>
        <w:tc>
          <w:tcPr>
            <w:tcW w:w="409" w:type="dxa"/>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6503" w:type="dxa"/>
            <w:tcMar>
              <w:left w:w="0" w:type="dxa"/>
              <w:right w:w="0" w:type="dxa"/>
            </w:tcMar>
          </w:tcPr>
          <w:p w:rsidR="00B06C40" w:rsidRPr="005B4750" w:rsidRDefault="00B06C40" w:rsidP="004A6911">
            <w:pPr>
              <w:tabs>
                <w:tab w:val="left" w:pos="3544"/>
              </w:tabs>
              <w:snapToGrid w:val="0"/>
              <w:rPr>
                <w:rFonts w:ascii="Calibri" w:hAnsi="Calibri" w:cs="Tahoma"/>
                <w:sz w:val="20"/>
                <w:szCs w:val="20"/>
              </w:rPr>
            </w:pPr>
            <w:r w:rsidRPr="005B4750">
              <w:rPr>
                <w:rFonts w:ascii="Calibri" w:hAnsi="Calibri" w:cs="Tahoma"/>
                <w:sz w:val="20"/>
                <w:szCs w:val="20"/>
              </w:rPr>
              <w:t>porcentaje de insumos del precio de cotización</w:t>
            </w:r>
          </w:p>
        </w:tc>
      </w:tr>
      <w:tr w:rsidR="00B06C40" w:rsidRPr="005B4750" w:rsidTr="004A6911">
        <w:trPr>
          <w:jc w:val="center"/>
        </w:trPr>
        <w:tc>
          <w:tcPr>
            <w:tcW w:w="851" w:type="dxa"/>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Ga</w:t>
            </w:r>
          </w:p>
        </w:tc>
        <w:tc>
          <w:tcPr>
            <w:tcW w:w="409" w:type="dxa"/>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6503" w:type="dxa"/>
            <w:tcMar>
              <w:left w:w="0" w:type="dxa"/>
              <w:right w:w="0" w:type="dxa"/>
            </w:tcMar>
          </w:tcPr>
          <w:p w:rsidR="00B06C40" w:rsidRPr="005B4750" w:rsidRDefault="00B06C40" w:rsidP="004A6911">
            <w:pPr>
              <w:tabs>
                <w:tab w:val="left" w:pos="3544"/>
              </w:tabs>
              <w:snapToGrid w:val="0"/>
              <w:rPr>
                <w:rFonts w:ascii="Calibri" w:hAnsi="Calibri" w:cs="Tahoma"/>
                <w:sz w:val="20"/>
                <w:szCs w:val="20"/>
              </w:rPr>
            </w:pPr>
            <w:r w:rsidRPr="005B4750">
              <w:rPr>
                <w:rFonts w:ascii="Calibri" w:hAnsi="Calibri" w:cs="Tahoma"/>
                <w:sz w:val="20"/>
                <w:szCs w:val="20"/>
              </w:rPr>
              <w:t>porcentaje de gastos administrativos del precio de cotización</w:t>
            </w:r>
          </w:p>
        </w:tc>
      </w:tr>
      <w:tr w:rsidR="00B06C40" w:rsidRPr="005B4750" w:rsidTr="004A6911">
        <w:trPr>
          <w:jc w:val="center"/>
        </w:trPr>
        <w:tc>
          <w:tcPr>
            <w:tcW w:w="851" w:type="dxa"/>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U</w:t>
            </w:r>
          </w:p>
        </w:tc>
        <w:tc>
          <w:tcPr>
            <w:tcW w:w="409" w:type="dxa"/>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6503" w:type="dxa"/>
            <w:tcMar>
              <w:left w:w="0" w:type="dxa"/>
              <w:right w:w="0" w:type="dxa"/>
            </w:tcMar>
          </w:tcPr>
          <w:p w:rsidR="00B06C40" w:rsidRPr="005B4750" w:rsidRDefault="00B06C40" w:rsidP="004A6911">
            <w:pPr>
              <w:tabs>
                <w:tab w:val="left" w:pos="3544"/>
              </w:tabs>
              <w:snapToGrid w:val="0"/>
              <w:rPr>
                <w:rFonts w:ascii="Calibri" w:hAnsi="Calibri" w:cs="Tahoma"/>
                <w:sz w:val="20"/>
                <w:szCs w:val="20"/>
              </w:rPr>
            </w:pPr>
            <w:r w:rsidRPr="005B4750">
              <w:rPr>
                <w:rFonts w:ascii="Calibri" w:hAnsi="Calibri" w:cs="Tahoma"/>
                <w:sz w:val="20"/>
                <w:szCs w:val="20"/>
              </w:rPr>
              <w:t>porcentaje de utilidad del precio de cotización</w:t>
            </w:r>
          </w:p>
        </w:tc>
      </w:tr>
    </w:tbl>
    <w:p w:rsidR="00B06C40" w:rsidRPr="005B4750" w:rsidRDefault="00B06C40" w:rsidP="00B06C40">
      <w:pPr>
        <w:shd w:val="clear" w:color="auto" w:fill="FFFFFF"/>
        <w:tabs>
          <w:tab w:val="left" w:pos="3544"/>
        </w:tabs>
        <w:autoSpaceDE w:val="0"/>
        <w:jc w:val="both"/>
        <w:rPr>
          <w:rFonts w:ascii="Calibri" w:hAnsi="Calibri" w:cs="Tahoma"/>
          <w:sz w:val="20"/>
          <w:szCs w:val="20"/>
        </w:rPr>
      </w:pPr>
    </w:p>
    <w:p w:rsidR="00B06C40" w:rsidRPr="005B4750" w:rsidRDefault="00B06C40" w:rsidP="00B06C40">
      <w:pPr>
        <w:pStyle w:val="bodytext2"/>
        <w:tabs>
          <w:tab w:val="left" w:pos="3544"/>
        </w:tabs>
        <w:rPr>
          <w:rFonts w:ascii="Calibri" w:hAnsi="Calibri" w:cs="Tahoma"/>
          <w:sz w:val="20"/>
          <w:szCs w:val="20"/>
          <w:lang w:val="es-ES_tradnl"/>
        </w:rPr>
      </w:pPr>
      <w:r w:rsidRPr="005B4750">
        <w:rPr>
          <w:rFonts w:ascii="Calibri" w:hAnsi="Calibri" w:cs="Tahoma"/>
          <w:sz w:val="20"/>
          <w:szCs w:val="20"/>
          <w:lang w:val="es-ES_tradnl"/>
        </w:rPr>
        <w:t>Partiendo de una estructura de elementos de precios como la anterior, se puede plantear una fórmula de variación de precios del tipo:</w:t>
      </w:r>
    </w:p>
    <w:p w:rsidR="00B06C40" w:rsidRPr="005B4750" w:rsidRDefault="00B06C40" w:rsidP="00B06C40">
      <w:pPr>
        <w:pStyle w:val="bodytext2"/>
        <w:tabs>
          <w:tab w:val="left" w:pos="3544"/>
        </w:tabs>
        <w:rPr>
          <w:rFonts w:ascii="Calibri" w:hAnsi="Calibri" w:cs="Tahoma"/>
          <w:sz w:val="20"/>
          <w:szCs w:val="20"/>
          <w:lang w:val="es-ES_tradnl"/>
        </w:rPr>
      </w:pPr>
    </w:p>
    <w:p w:rsidR="00B06C40" w:rsidRPr="005B4750" w:rsidRDefault="00B06C40" w:rsidP="00B06C40">
      <w:pPr>
        <w:pStyle w:val="bodytext2"/>
        <w:tabs>
          <w:tab w:val="left" w:pos="3544"/>
        </w:tabs>
        <w:jc w:val="center"/>
        <w:rPr>
          <w:rFonts w:ascii="Calibri" w:hAnsi="Calibri" w:cs="Tahoma"/>
          <w:sz w:val="20"/>
          <w:szCs w:val="20"/>
        </w:rPr>
      </w:pPr>
      <w:r w:rsidRPr="005B4750">
        <w:rPr>
          <w:rFonts w:ascii="Calibri" w:hAnsi="Calibri" w:cs="Tahoma"/>
          <w:position w:val="-25"/>
          <w:sz w:val="20"/>
          <w:szCs w:val="20"/>
        </w:rPr>
        <w:object w:dxaOrig="53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6.25pt;height:36pt" o:ole="" filled="t">
            <v:fill opacity="0" color2="black"/>
            <v:imagedata r:id="rId5" o:title=""/>
          </v:shape>
          <o:OLEObject Type="Embed" ProgID="Equation.3" ShapeID="_x0000_i1026" DrawAspect="Content" ObjectID="_1534000832" r:id="rId6"/>
        </w:object>
      </w:r>
    </w:p>
    <w:p w:rsidR="00B06C40" w:rsidRPr="005B4750" w:rsidRDefault="00B06C40" w:rsidP="00B06C40">
      <w:pPr>
        <w:pStyle w:val="bodytext2"/>
        <w:tabs>
          <w:tab w:val="left" w:pos="3544"/>
        </w:tabs>
        <w:rPr>
          <w:rFonts w:ascii="Calibri" w:hAnsi="Calibri" w:cs="Tahoma"/>
          <w:sz w:val="20"/>
          <w:szCs w:val="20"/>
        </w:rPr>
      </w:pPr>
      <w:r w:rsidRPr="005B4750">
        <w:rPr>
          <w:rFonts w:ascii="Calibri" w:hAnsi="Calibri" w:cs="Tahoma"/>
          <w:sz w:val="20"/>
          <w:szCs w:val="20"/>
        </w:rPr>
        <w:t>Donde:</w:t>
      </w:r>
    </w:p>
    <w:p w:rsidR="00B06C40" w:rsidRPr="005B4750" w:rsidRDefault="00B06C40" w:rsidP="00B06C40">
      <w:pPr>
        <w:tabs>
          <w:tab w:val="left" w:pos="3544"/>
        </w:tabs>
        <w:jc w:val="both"/>
        <w:rPr>
          <w:rFonts w:ascii="Calibri" w:hAnsi="Calibri" w:cs="Tahoma"/>
          <w:sz w:val="20"/>
          <w:szCs w:val="20"/>
        </w:rPr>
      </w:pPr>
    </w:p>
    <w:tbl>
      <w:tblPr>
        <w:tblW w:w="0" w:type="auto"/>
        <w:jc w:val="center"/>
        <w:tblLayout w:type="fixed"/>
        <w:tblLook w:val="0000" w:firstRow="0" w:lastRow="0" w:firstColumn="0" w:lastColumn="0" w:noHBand="0" w:noVBand="0"/>
      </w:tblPr>
      <w:tblGrid>
        <w:gridCol w:w="945"/>
        <w:gridCol w:w="541"/>
        <w:gridCol w:w="8279"/>
      </w:tblGrid>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Pv</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Precio variado.</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Pc</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Precio de cotización, cuando la fórmula se aplica por primera vez, y como precio últimamente revisado, en posteriores aplicaciones.</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MO</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Porcentaje de costo de mano de obra del precio de cotización (Pc).</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I</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Porcentaje de insumos del precio de cotización (Pc).</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GA</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Porcentaje de gastos administrativos del precio de cotización (Pc).</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U</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Porcentaje de utilidad del precio de cotización (Pc).</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IMOtm</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Índice del costo de la mano de obra en el momento de la variación.</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IMOtc</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Índice del costo de la mano de obra vigente en el momento de la cotización, cuando la fórmula se aplica por primera vez, y como vigente al momento de la última revisión, en posteriores aplicaciones.</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Ilti</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Índice del costo de insumos en el momento de la variación.</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Iltc</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Índice del costo de insumos vigente en el momento de la cotización, cuando la fórmula se aplica por primera vez, y como vigente al momento de la última revisión, en posteriores aplicaciones.</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IGAtg</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Índice del costo de gastos administrativos vigente en el momento de la variación.</w:t>
            </w:r>
          </w:p>
        </w:tc>
      </w:tr>
      <w:tr w:rsidR="00B06C40" w:rsidRPr="005B4750" w:rsidTr="004A6911">
        <w:trPr>
          <w:jc w:val="center"/>
        </w:trPr>
        <w:tc>
          <w:tcPr>
            <w:tcW w:w="945" w:type="dxa"/>
            <w:tcBorders>
              <w:top w:val="single" w:sz="4" w:space="0" w:color="000000"/>
              <w:left w:val="single" w:sz="4" w:space="0" w:color="000000"/>
              <w:bottom w:val="single" w:sz="4" w:space="0" w:color="000000"/>
            </w:tcBorders>
          </w:tcPr>
          <w:p w:rsidR="00B06C40" w:rsidRPr="005B4750" w:rsidRDefault="00B06C40" w:rsidP="004A6911">
            <w:pPr>
              <w:tabs>
                <w:tab w:val="left" w:pos="3544"/>
              </w:tabs>
              <w:snapToGrid w:val="0"/>
              <w:jc w:val="center"/>
              <w:rPr>
                <w:rFonts w:ascii="Calibri" w:hAnsi="Calibri" w:cs="Tahoma"/>
                <w:b/>
                <w:sz w:val="20"/>
                <w:szCs w:val="20"/>
              </w:rPr>
            </w:pPr>
            <w:r w:rsidRPr="005B4750">
              <w:rPr>
                <w:rFonts w:ascii="Calibri" w:hAnsi="Calibri" w:cs="Tahoma"/>
                <w:b/>
                <w:sz w:val="20"/>
                <w:szCs w:val="20"/>
              </w:rPr>
              <w:t>IGAtc</w:t>
            </w:r>
          </w:p>
        </w:tc>
        <w:tc>
          <w:tcPr>
            <w:tcW w:w="541" w:type="dxa"/>
            <w:tcBorders>
              <w:top w:val="single" w:sz="4" w:space="0" w:color="000000"/>
              <w:left w:val="single" w:sz="4" w:space="0" w:color="000000"/>
              <w:bottom w:val="single" w:sz="4" w:space="0" w:color="000000"/>
            </w:tcBorders>
            <w:tcMar>
              <w:left w:w="0" w:type="dxa"/>
              <w:right w:w="0" w:type="dxa"/>
            </w:tcMar>
          </w:tcPr>
          <w:p w:rsidR="00B06C40" w:rsidRPr="005B4750" w:rsidRDefault="00B06C40" w:rsidP="004A6911">
            <w:pPr>
              <w:tabs>
                <w:tab w:val="left" w:pos="3544"/>
              </w:tabs>
              <w:snapToGrid w:val="0"/>
              <w:jc w:val="center"/>
              <w:rPr>
                <w:rFonts w:ascii="Calibri" w:hAnsi="Calibri" w:cs="Tahoma"/>
                <w:sz w:val="20"/>
                <w:szCs w:val="20"/>
              </w:rPr>
            </w:pPr>
            <w:r w:rsidRPr="005B4750">
              <w:rPr>
                <w:rFonts w:ascii="Calibri" w:hAnsi="Calibri" w:cs="Tahoma"/>
                <w:sz w:val="20"/>
                <w:szCs w:val="20"/>
              </w:rPr>
              <w:t>=</w:t>
            </w:r>
          </w:p>
        </w:tc>
        <w:tc>
          <w:tcPr>
            <w:tcW w:w="8279" w:type="dxa"/>
            <w:tcBorders>
              <w:top w:val="single" w:sz="4" w:space="0" w:color="000000"/>
              <w:left w:val="single" w:sz="4" w:space="0" w:color="000000"/>
              <w:bottom w:val="single" w:sz="4" w:space="0" w:color="000000"/>
              <w:right w:val="single" w:sz="4" w:space="0" w:color="000000"/>
            </w:tcBorders>
            <w:tcMar>
              <w:left w:w="0" w:type="dxa"/>
              <w:right w:w="0" w:type="dxa"/>
            </w:tcMar>
          </w:tcPr>
          <w:p w:rsidR="00B06C40" w:rsidRPr="005B4750" w:rsidRDefault="00B06C40" w:rsidP="004A6911">
            <w:pPr>
              <w:tabs>
                <w:tab w:val="left" w:pos="3544"/>
              </w:tabs>
              <w:snapToGrid w:val="0"/>
              <w:jc w:val="both"/>
              <w:rPr>
                <w:rFonts w:ascii="Calibri" w:hAnsi="Calibri" w:cs="Tahoma"/>
                <w:sz w:val="20"/>
                <w:szCs w:val="20"/>
              </w:rPr>
            </w:pPr>
            <w:r w:rsidRPr="005B4750">
              <w:rPr>
                <w:rFonts w:ascii="Calibri" w:hAnsi="Calibri" w:cs="Tahoma"/>
                <w:sz w:val="20"/>
                <w:szCs w:val="20"/>
              </w:rPr>
              <w:t>Índice del costo de gastos administrativos vigente en el momento de la cotización, cuando la fórmula se aplica por primera vez, y como vigente al momento de la última revisión, en posteriores aplicaciones.</w:t>
            </w:r>
          </w:p>
        </w:tc>
      </w:tr>
    </w:tbl>
    <w:p w:rsidR="00B06C40" w:rsidRPr="005B4750" w:rsidRDefault="00B06C40" w:rsidP="00B06C40">
      <w:pPr>
        <w:pStyle w:val="Sangradetextonormal"/>
        <w:tabs>
          <w:tab w:val="left" w:pos="3544"/>
        </w:tabs>
        <w:suppressAutoHyphens w:val="0"/>
        <w:spacing w:after="0"/>
        <w:ind w:left="1080"/>
        <w:jc w:val="both"/>
        <w:rPr>
          <w:rFonts w:ascii="Calibri" w:hAnsi="Calibri" w:cs="Tahoma"/>
          <w:sz w:val="20"/>
          <w:szCs w:val="20"/>
          <w:lang w:val="es-CR"/>
        </w:rPr>
      </w:pPr>
    </w:p>
    <w:p w:rsidR="00B06C40" w:rsidRPr="005B4750" w:rsidRDefault="00B06C40" w:rsidP="00F63241">
      <w:pPr>
        <w:pStyle w:val="Sangradetextonormal"/>
        <w:numPr>
          <w:ilvl w:val="1"/>
          <w:numId w:val="5"/>
        </w:numPr>
        <w:tabs>
          <w:tab w:val="left" w:pos="1134"/>
          <w:tab w:val="left" w:pos="3544"/>
        </w:tabs>
        <w:suppressAutoHyphens w:val="0"/>
        <w:spacing w:after="0"/>
        <w:ind w:left="1134" w:right="283" w:hanging="283"/>
        <w:jc w:val="both"/>
        <w:rPr>
          <w:rFonts w:ascii="Calibri" w:hAnsi="Calibri" w:cs="Tahoma"/>
          <w:sz w:val="20"/>
          <w:szCs w:val="20"/>
          <w:lang w:val="es-CR"/>
        </w:rPr>
      </w:pPr>
      <w:r w:rsidRPr="005B4750">
        <w:rPr>
          <w:rFonts w:ascii="Calibri" w:hAnsi="Calibri" w:cs="Tahoma"/>
          <w:sz w:val="20"/>
          <w:szCs w:val="20"/>
          <w:lang w:val="es-CR"/>
        </w:rPr>
        <w:t>Los índices a que hace referencia la fórmula anteriormente desarrollada deberán ser los más estrechamente vinculados con la actividad objeto de la contratación.</w:t>
      </w:r>
    </w:p>
    <w:p w:rsidR="00B06C40" w:rsidRPr="005B4750" w:rsidRDefault="00B06C40" w:rsidP="00F63241">
      <w:pPr>
        <w:pStyle w:val="Sangradetextonormal"/>
        <w:numPr>
          <w:ilvl w:val="1"/>
          <w:numId w:val="5"/>
        </w:numPr>
        <w:tabs>
          <w:tab w:val="left" w:pos="1134"/>
          <w:tab w:val="left" w:pos="3544"/>
        </w:tabs>
        <w:suppressAutoHyphens w:val="0"/>
        <w:spacing w:after="0"/>
        <w:ind w:left="1134" w:right="283" w:hanging="283"/>
        <w:jc w:val="both"/>
        <w:rPr>
          <w:rFonts w:ascii="Calibri" w:hAnsi="Calibri" w:cs="Tahoma"/>
          <w:sz w:val="20"/>
          <w:szCs w:val="20"/>
          <w:lang w:val="es-CR"/>
        </w:rPr>
      </w:pPr>
      <w:r w:rsidRPr="005B4750">
        <w:rPr>
          <w:rFonts w:ascii="Calibri" w:hAnsi="Calibri" w:cs="Tahoma"/>
          <w:sz w:val="20"/>
          <w:szCs w:val="20"/>
          <w:lang w:val="es-CR"/>
        </w:rPr>
        <w:t>Se advierte, que por regla de principio; según los lineamientos de la Contraloría General de la República, serán procedentes los reajustes de precios, únicamente en caso de cotizaciones en moneda nacional (colones costarricenses), caso en el cual, deberá presentar el respectivo reclamo administrativo que justifique y demuestre debidamente que el o la contratista, está sufriendo un desequilibrio económico, documentación que deberá ser aportada ante la Dirección Ejecutiva.</w:t>
      </w:r>
    </w:p>
    <w:p w:rsidR="008514EA" w:rsidRDefault="00B06C40" w:rsidP="00B06C40">
      <w:pPr>
        <w:pStyle w:val="Sangradetextonormal"/>
        <w:numPr>
          <w:ilvl w:val="1"/>
          <w:numId w:val="5"/>
        </w:numPr>
        <w:tabs>
          <w:tab w:val="left" w:pos="1134"/>
          <w:tab w:val="left" w:pos="3544"/>
        </w:tabs>
        <w:suppressAutoHyphens w:val="0"/>
        <w:spacing w:after="0"/>
        <w:ind w:left="1134" w:right="283" w:hanging="283"/>
        <w:jc w:val="both"/>
        <w:rPr>
          <w:rFonts w:ascii="Calibri" w:hAnsi="Calibri" w:cs="Tahoma"/>
          <w:sz w:val="20"/>
          <w:szCs w:val="20"/>
          <w:lang w:val="es-CR"/>
        </w:rPr>
      </w:pPr>
      <w:r w:rsidRPr="005B4750">
        <w:rPr>
          <w:rFonts w:ascii="Calibri" w:hAnsi="Calibri" w:cs="Tahoma"/>
          <w:sz w:val="20"/>
          <w:szCs w:val="20"/>
          <w:lang w:val="es-CR"/>
        </w:rPr>
        <w:lastRenderedPageBreak/>
        <w:t>Es obligación del o la oferente, velar porque su propuesta, de acuerdo con el objeto de contrato, reúna todos los elementos o la información que incidan en la valoración; la información incompleta no se tomará en cuenta para efectos de evaluación.</w:t>
      </w:r>
    </w:p>
    <w:p w:rsidR="00C070D7" w:rsidRPr="008514EA" w:rsidRDefault="00B06C40" w:rsidP="00B06C40">
      <w:pPr>
        <w:pStyle w:val="Sangradetextonormal"/>
        <w:numPr>
          <w:ilvl w:val="1"/>
          <w:numId w:val="5"/>
        </w:numPr>
        <w:tabs>
          <w:tab w:val="left" w:pos="1134"/>
          <w:tab w:val="left" w:pos="3544"/>
        </w:tabs>
        <w:suppressAutoHyphens w:val="0"/>
        <w:spacing w:after="0"/>
        <w:ind w:left="1134" w:right="283" w:hanging="283"/>
        <w:jc w:val="both"/>
        <w:rPr>
          <w:rFonts w:ascii="Calibri" w:hAnsi="Calibri" w:cs="Tahoma"/>
          <w:sz w:val="20"/>
          <w:szCs w:val="20"/>
          <w:lang w:val="es-CR"/>
        </w:rPr>
      </w:pPr>
      <w:r w:rsidRPr="008514EA">
        <w:rPr>
          <w:rFonts w:ascii="Calibri" w:hAnsi="Calibri" w:cs="Tahoma"/>
          <w:sz w:val="20"/>
          <w:szCs w:val="20"/>
          <w:lang w:val="es-CR"/>
        </w:rPr>
        <w:t>El Poder Judicial se reserva el derecho de corroborar la información dada por los participantes.  En caso de existir datos falsos, se desestimará la oferta del concurso y se dispondrá de inmediato el inicio de los procedimientos sancionatorios y pecuniarios correspondientes</w:t>
      </w:r>
    </w:p>
    <w:p w:rsidR="00B06C40" w:rsidRDefault="00B06C40" w:rsidP="00B06C40">
      <w:pPr>
        <w:rPr>
          <w:rFonts w:ascii="Calibri" w:hAnsi="Calibri" w:cs="Tahoma"/>
          <w:sz w:val="20"/>
          <w:szCs w:val="20"/>
          <w:lang w:val="es-CR"/>
        </w:rPr>
      </w:pPr>
    </w:p>
    <w:p w:rsidR="00B06C40" w:rsidRDefault="00B06C40" w:rsidP="00B06C40">
      <w:pPr>
        <w:rPr>
          <w:rFonts w:ascii="Calibri" w:hAnsi="Calibri" w:cs="Tahoma"/>
          <w:sz w:val="20"/>
          <w:szCs w:val="20"/>
          <w:lang w:val="es-CR"/>
        </w:rPr>
      </w:pPr>
    </w:p>
    <w:p w:rsidR="00B06C40" w:rsidRDefault="008514EA" w:rsidP="00B06C40">
      <w:pPr>
        <w:rPr>
          <w:rFonts w:ascii="Calibri" w:hAnsi="Calibri" w:cs="Tahoma"/>
          <w:sz w:val="20"/>
          <w:szCs w:val="20"/>
          <w:lang w:val="es-CR"/>
        </w:rPr>
      </w:pPr>
      <w:r>
        <w:rPr>
          <w:rFonts w:ascii="Calibri" w:hAnsi="Calibri" w:cs="Tahoma"/>
          <w:sz w:val="20"/>
          <w:szCs w:val="20"/>
          <w:lang w:val="es-CR"/>
        </w:rPr>
        <w:t>Adicionalmente a lo</w:t>
      </w:r>
      <w:r w:rsidR="00235050">
        <w:rPr>
          <w:rFonts w:ascii="Calibri" w:hAnsi="Calibri" w:cs="Tahoma"/>
          <w:sz w:val="20"/>
          <w:szCs w:val="20"/>
          <w:lang w:val="es-CR"/>
        </w:rPr>
        <w:t xml:space="preserve"> anterior </w:t>
      </w:r>
      <w:r>
        <w:rPr>
          <w:rFonts w:ascii="Calibri" w:hAnsi="Calibri" w:cs="Tahoma"/>
          <w:sz w:val="20"/>
          <w:szCs w:val="20"/>
          <w:lang w:val="es-CR"/>
        </w:rPr>
        <w:t>señalado, para las contrataciones de obra pública se deberá tomar en cuenta la siguiente cláusula de los plazos de prescripción.</w:t>
      </w:r>
    </w:p>
    <w:p w:rsidR="008514EA" w:rsidRDefault="008514EA" w:rsidP="00B06C40">
      <w:pPr>
        <w:rPr>
          <w:rFonts w:ascii="Calibri" w:hAnsi="Calibri" w:cs="Tahoma"/>
          <w:sz w:val="20"/>
          <w:szCs w:val="20"/>
          <w:lang w:val="es-CR"/>
        </w:rPr>
      </w:pPr>
    </w:p>
    <w:p w:rsidR="008514EA" w:rsidRDefault="008514EA" w:rsidP="008514EA">
      <w:pPr>
        <w:tabs>
          <w:tab w:val="left" w:pos="3544"/>
        </w:tabs>
        <w:autoSpaceDE w:val="0"/>
        <w:jc w:val="both"/>
        <w:rPr>
          <w:rFonts w:ascii="Calibri" w:hAnsi="Calibri" w:cs="Calibri"/>
          <w:b/>
          <w:bCs/>
          <w:spacing w:val="-3"/>
          <w:sz w:val="20"/>
          <w:szCs w:val="20"/>
          <w:u w:val="single"/>
          <w:lang w:val="es-CR"/>
        </w:rPr>
      </w:pPr>
      <w:r>
        <w:rPr>
          <w:rFonts w:ascii="Calibri" w:hAnsi="Calibri" w:cs="Calibri"/>
          <w:b/>
          <w:bCs/>
          <w:spacing w:val="-3"/>
          <w:sz w:val="20"/>
          <w:szCs w:val="20"/>
          <w:u w:val="single"/>
          <w:lang w:val="es-CR"/>
        </w:rPr>
        <w:t>Plazos de prescripción del derecho a reclamar reajustes de precios en  obra.</w:t>
      </w:r>
    </w:p>
    <w:p w:rsidR="008514EA" w:rsidRDefault="008514EA" w:rsidP="008514EA">
      <w:pPr>
        <w:autoSpaceDE w:val="0"/>
        <w:jc w:val="both"/>
        <w:rPr>
          <w:rFonts w:ascii="Calibri" w:hAnsi="Calibri" w:cs="Calibri"/>
          <w:b/>
          <w:bCs/>
          <w:spacing w:val="-3"/>
          <w:sz w:val="20"/>
          <w:szCs w:val="20"/>
          <w:u w:val="single"/>
          <w:lang w:val="es-CR"/>
        </w:rPr>
      </w:pPr>
    </w:p>
    <w:p w:rsidR="008514EA" w:rsidRDefault="008514EA" w:rsidP="008514EA">
      <w:pPr>
        <w:autoSpaceDE w:val="0"/>
        <w:jc w:val="both"/>
        <w:rPr>
          <w:rFonts w:ascii="Calibri" w:hAnsi="Calibri" w:cs="Calibri"/>
          <w:b/>
          <w:bCs/>
          <w:sz w:val="20"/>
          <w:szCs w:val="20"/>
          <w:lang w:val="es-CR"/>
        </w:rPr>
      </w:pPr>
      <w:r>
        <w:rPr>
          <w:rFonts w:ascii="Calibri" w:hAnsi="Calibri" w:cs="Calibri"/>
          <w:sz w:val="20"/>
          <w:szCs w:val="20"/>
          <w:lang w:val="es-CR"/>
        </w:rPr>
        <w:t>Para efectos de que el o la adjudicatario (a) haga uso adecuado y oportuno de su derecho de reajuste, deberá tomar en cuenta las siguientes condiciones:</w:t>
      </w:r>
    </w:p>
    <w:p w:rsidR="008514EA" w:rsidRDefault="008514EA" w:rsidP="008514EA">
      <w:pPr>
        <w:autoSpaceDE w:val="0"/>
        <w:jc w:val="both"/>
        <w:rPr>
          <w:rFonts w:ascii="Calibri" w:hAnsi="Calibri" w:cs="Calibri"/>
          <w:b/>
          <w:bCs/>
          <w:sz w:val="20"/>
          <w:szCs w:val="20"/>
          <w:lang w:val="es-CR"/>
        </w:rPr>
      </w:pPr>
    </w:p>
    <w:p w:rsidR="008514EA" w:rsidRDefault="008514EA" w:rsidP="008514EA">
      <w:pPr>
        <w:numPr>
          <w:ilvl w:val="0"/>
          <w:numId w:val="7"/>
        </w:numPr>
        <w:tabs>
          <w:tab w:val="left" w:pos="567"/>
          <w:tab w:val="left" w:pos="3544"/>
        </w:tabs>
        <w:suppressAutoHyphens/>
        <w:autoSpaceDE w:val="0"/>
        <w:ind w:left="567" w:right="283" w:hanging="283"/>
        <w:jc w:val="both"/>
        <w:rPr>
          <w:rFonts w:ascii="Calibri" w:hAnsi="Calibri" w:cs="Calibri"/>
          <w:sz w:val="20"/>
          <w:szCs w:val="20"/>
        </w:rPr>
      </w:pPr>
      <w:r>
        <w:rPr>
          <w:rFonts w:ascii="Calibri" w:hAnsi="Calibri" w:cs="Calibri"/>
          <w:sz w:val="20"/>
          <w:szCs w:val="20"/>
        </w:rPr>
        <w:t>En primer término el derecho a solicitar reajuste de precios prescribe con el finiquito del contrato.</w:t>
      </w:r>
    </w:p>
    <w:p w:rsidR="008514EA" w:rsidRDefault="008514EA" w:rsidP="008514EA">
      <w:pPr>
        <w:numPr>
          <w:ilvl w:val="0"/>
          <w:numId w:val="7"/>
        </w:numPr>
        <w:tabs>
          <w:tab w:val="left" w:pos="567"/>
          <w:tab w:val="left" w:pos="3544"/>
        </w:tabs>
        <w:suppressAutoHyphens/>
        <w:autoSpaceDE w:val="0"/>
        <w:ind w:left="567" w:right="283" w:hanging="283"/>
        <w:jc w:val="both"/>
        <w:rPr>
          <w:rFonts w:ascii="Calibri" w:hAnsi="Calibri" w:cs="Calibri"/>
          <w:sz w:val="20"/>
          <w:szCs w:val="20"/>
        </w:rPr>
      </w:pPr>
      <w:r>
        <w:rPr>
          <w:rFonts w:ascii="Calibri" w:hAnsi="Calibri" w:cs="Calibri"/>
          <w:sz w:val="20"/>
          <w:szCs w:val="20"/>
        </w:rPr>
        <w:t>En segundo lugar, si no se</w:t>
      </w:r>
      <w:bookmarkStart w:id="0" w:name="_GoBack"/>
      <w:bookmarkEnd w:id="0"/>
      <w:r>
        <w:rPr>
          <w:rFonts w:ascii="Calibri" w:hAnsi="Calibri" w:cs="Calibri"/>
          <w:sz w:val="20"/>
          <w:szCs w:val="20"/>
        </w:rPr>
        <w:t xml:space="preserve"> suscribe un finiquito, el derecho de solicitar reajuste prescribirá una vez que opere la terminación normal del contrato y que se haya pagado la obra.</w:t>
      </w:r>
    </w:p>
    <w:p w:rsidR="008514EA" w:rsidRDefault="008514EA" w:rsidP="008514EA">
      <w:pPr>
        <w:numPr>
          <w:ilvl w:val="0"/>
          <w:numId w:val="7"/>
        </w:numPr>
        <w:tabs>
          <w:tab w:val="left" w:pos="567"/>
          <w:tab w:val="left" w:pos="3544"/>
        </w:tabs>
        <w:suppressAutoHyphens/>
        <w:autoSpaceDE w:val="0"/>
        <w:ind w:left="567" w:right="283" w:hanging="283"/>
        <w:jc w:val="both"/>
        <w:rPr>
          <w:rFonts w:ascii="Calibri" w:hAnsi="Calibri" w:cs="Tahoma"/>
          <w:sz w:val="20"/>
          <w:szCs w:val="20"/>
        </w:rPr>
      </w:pPr>
      <w:r>
        <w:rPr>
          <w:rFonts w:ascii="Calibri" w:hAnsi="Calibri" w:cs="Calibri"/>
          <w:sz w:val="20"/>
          <w:szCs w:val="20"/>
        </w:rPr>
        <w:t>Por último a falta de los dos anteriores, el plazo de prescripción es de 5 años a partir de que exista la posibilidad de ejercer la acción cobratoria</w:t>
      </w:r>
    </w:p>
    <w:p w:rsidR="008514EA" w:rsidRDefault="008514EA" w:rsidP="00B06C40">
      <w:pPr>
        <w:rPr>
          <w:rFonts w:ascii="Calibri" w:hAnsi="Calibri" w:cs="Tahoma"/>
          <w:sz w:val="20"/>
          <w:szCs w:val="20"/>
          <w:lang w:val="es-CR"/>
        </w:rPr>
      </w:pPr>
    </w:p>
    <w:p w:rsidR="00B06C40" w:rsidRDefault="00B06C40" w:rsidP="00B06C40">
      <w:pPr>
        <w:rPr>
          <w:rFonts w:ascii="Calibri" w:hAnsi="Calibri" w:cs="Tahoma"/>
          <w:sz w:val="20"/>
          <w:szCs w:val="20"/>
          <w:lang w:val="es-CR"/>
        </w:rPr>
      </w:pPr>
    </w:p>
    <w:p w:rsidR="00B06C40" w:rsidRDefault="00B06C40" w:rsidP="00B06C40">
      <w:pPr>
        <w:rPr>
          <w:rFonts w:ascii="Calibri" w:hAnsi="Calibri" w:cs="Tahoma"/>
          <w:sz w:val="20"/>
          <w:szCs w:val="20"/>
          <w:lang w:val="es-CR"/>
        </w:rPr>
      </w:pPr>
    </w:p>
    <w:p w:rsidR="00B06C40" w:rsidRPr="00B06C40" w:rsidRDefault="00B06C40" w:rsidP="00B06C40">
      <w:pPr>
        <w:tabs>
          <w:tab w:val="left" w:pos="2220"/>
          <w:tab w:val="left" w:pos="3544"/>
        </w:tabs>
        <w:jc w:val="both"/>
        <w:rPr>
          <w:rFonts w:ascii="Calibri" w:hAnsi="Calibri" w:cs="Tahoma"/>
          <w:sz w:val="20"/>
          <w:szCs w:val="20"/>
          <w:highlight w:val="yellow"/>
        </w:rPr>
      </w:pPr>
    </w:p>
    <w:p w:rsidR="00B06C40" w:rsidRDefault="00B06C40" w:rsidP="00B06C40"/>
    <w:sectPr w:rsidR="00B06C40" w:rsidSect="003E30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 w15:restartNumberingAfterBreak="0">
    <w:nsid w:val="00000012"/>
    <w:multiLevelType w:val="multilevel"/>
    <w:tmpl w:val="00000012"/>
    <w:lvl w:ilvl="0">
      <w:start w:val="1"/>
      <w:numFmt w:val="decimal"/>
      <w:lvlText w:val="%1."/>
      <w:lvlJc w:val="left"/>
      <w:pPr>
        <w:tabs>
          <w:tab w:val="num" w:pos="720"/>
        </w:tabs>
        <w:ind w:left="720" w:hanging="360"/>
      </w:pPr>
      <w:rPr>
        <w:b/>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7"/>
    <w:multiLevelType w:val="multilevel"/>
    <w:tmpl w:val="00000017"/>
    <w:lvl w:ilvl="0">
      <w:start w:val="1"/>
      <w:numFmt w:val="decimal"/>
      <w:lvlText w:val="%1."/>
      <w:lvlJc w:val="left"/>
      <w:pPr>
        <w:tabs>
          <w:tab w:val="num" w:pos="720"/>
        </w:tabs>
        <w:ind w:left="720" w:hanging="360"/>
      </w:pPr>
      <w:rPr>
        <w:b/>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8"/>
    <w:multiLevelType w:val="multilevel"/>
    <w:tmpl w:val="00000018"/>
    <w:lvl w:ilvl="0">
      <w:start w:val="1"/>
      <w:numFmt w:val="lowerRoman"/>
      <w:lvlText w:val="%1)"/>
      <w:lvlJc w:val="left"/>
      <w:pPr>
        <w:tabs>
          <w:tab w:val="num" w:pos="1080"/>
        </w:tabs>
        <w:ind w:left="1080" w:hanging="72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E07323"/>
    <w:multiLevelType w:val="multilevel"/>
    <w:tmpl w:val="9486426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1F58CA"/>
    <w:multiLevelType w:val="hybridMultilevel"/>
    <w:tmpl w:val="1966BB50"/>
    <w:lvl w:ilvl="0" w:tplc="140A0019">
      <w:start w:val="1"/>
      <w:numFmt w:val="lowerLetter"/>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6" w15:restartNumberingAfterBreak="0">
    <w:nsid w:val="5CDF1BC4"/>
    <w:multiLevelType w:val="hybridMultilevel"/>
    <w:tmpl w:val="E6CE320C"/>
    <w:lvl w:ilvl="0" w:tplc="140A0019">
      <w:start w:val="1"/>
      <w:numFmt w:val="lowerLetter"/>
      <w:lvlText w:val="%1."/>
      <w:lvlJc w:val="left"/>
      <w:pPr>
        <w:ind w:left="1287" w:hanging="360"/>
      </w:pPr>
    </w:lvl>
    <w:lvl w:ilvl="1" w:tplc="140A0019">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applyBreakingRules/>
    <w:compatSetting w:name="compatibilityMode" w:uri="http://schemas.microsoft.com/office/word" w:val="12"/>
  </w:compat>
  <w:rsids>
    <w:rsidRoot w:val="00B06C40"/>
    <w:rsid w:val="00235050"/>
    <w:rsid w:val="003E30B6"/>
    <w:rsid w:val="00422E8C"/>
    <w:rsid w:val="007F7C77"/>
    <w:rsid w:val="008514EA"/>
    <w:rsid w:val="00964F74"/>
    <w:rsid w:val="00B06C40"/>
    <w:rsid w:val="00C070D7"/>
    <w:rsid w:val="00C508BE"/>
    <w:rsid w:val="00F63241"/>
  </w:rsids>
  <m:mathPr>
    <m:mathFont m:val="Cambria Math"/>
    <m:brkBin m:val="before"/>
    <m:brkBinSub m:val="--"/>
    <m:smallFrac m:val="0"/>
    <m:dispDef/>
    <m:lMargin m:val="0"/>
    <m:rMargin m:val="0"/>
    <m:defJc m:val="centerGroup"/>
    <m:wrapIndent m:val="1440"/>
    <m:intLim m:val="subSup"/>
    <m:naryLim m:val="undOvr"/>
  </m:mathPr>
  <w:themeFontLang w:val="es-CR"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docId w15:val="{1DC8F80F-EB84-4905-96D3-5CF3EF0D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4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text2"/>
    <w:basedOn w:val="Normal"/>
    <w:rsid w:val="00B06C40"/>
    <w:pPr>
      <w:spacing w:line="240" w:lineRule="atLeast"/>
      <w:ind w:left="1134" w:hanging="1134"/>
      <w:jc w:val="both"/>
    </w:pPr>
    <w:rPr>
      <w:rFonts w:ascii="Arial" w:hAnsi="Arial" w:cs="Arial"/>
      <w:spacing w:val="-2"/>
    </w:rPr>
  </w:style>
  <w:style w:type="paragraph" w:styleId="Sangradetextonormal">
    <w:name w:val="Body Text Indent"/>
    <w:basedOn w:val="Normal"/>
    <w:link w:val="SangradetextonormalCar"/>
    <w:rsid w:val="00B06C40"/>
    <w:pPr>
      <w:suppressAutoHyphens/>
      <w:spacing w:after="120"/>
      <w:ind w:left="283"/>
    </w:pPr>
    <w:rPr>
      <w:lang w:eastAsia="ar-SA"/>
    </w:rPr>
  </w:style>
  <w:style w:type="character" w:customStyle="1" w:styleId="SangradetextonormalCar">
    <w:name w:val="Sangría de texto normal Car"/>
    <w:basedOn w:val="Fuentedeprrafopredeter"/>
    <w:link w:val="Sangradetextonormal"/>
    <w:rsid w:val="00B06C40"/>
    <w:rPr>
      <w:rFonts w:ascii="Times New Roman" w:eastAsia="Times New Roman" w:hAnsi="Times New Roman" w:cs="Times New Roman"/>
      <w:sz w:val="24"/>
      <w:szCs w:val="24"/>
      <w:lang w:val="es-ES" w:eastAsia="ar-SA"/>
    </w:rPr>
  </w:style>
  <w:style w:type="character" w:styleId="Hipervnculo">
    <w:name w:val="Hyperlink"/>
    <w:rsid w:val="00B06C40"/>
    <w:rPr>
      <w:color w:val="0000FF"/>
      <w:u w:val="single"/>
    </w:rPr>
  </w:style>
  <w:style w:type="paragraph" w:styleId="Prrafodelista">
    <w:name w:val="List Paragraph"/>
    <w:basedOn w:val="Normal"/>
    <w:uiPriority w:val="34"/>
    <w:qFormat/>
    <w:rsid w:val="00F63241"/>
    <w:pPr>
      <w:ind w:left="720"/>
      <w:contextualSpacing/>
    </w:pPr>
  </w:style>
  <w:style w:type="character" w:styleId="Refdecomentario">
    <w:name w:val="annotation reference"/>
    <w:basedOn w:val="Fuentedeprrafopredeter"/>
    <w:uiPriority w:val="99"/>
    <w:semiHidden/>
    <w:unhideWhenUsed/>
    <w:rsid w:val="00C508BE"/>
    <w:rPr>
      <w:sz w:val="16"/>
      <w:szCs w:val="16"/>
    </w:rPr>
  </w:style>
  <w:style w:type="paragraph" w:styleId="Textocomentario">
    <w:name w:val="annotation text"/>
    <w:basedOn w:val="Normal"/>
    <w:link w:val="TextocomentarioCar"/>
    <w:uiPriority w:val="99"/>
    <w:semiHidden/>
    <w:unhideWhenUsed/>
    <w:rsid w:val="00C508BE"/>
    <w:rPr>
      <w:sz w:val="20"/>
      <w:szCs w:val="20"/>
    </w:rPr>
  </w:style>
  <w:style w:type="character" w:customStyle="1" w:styleId="TextocomentarioCar">
    <w:name w:val="Texto comentario Car"/>
    <w:basedOn w:val="Fuentedeprrafopredeter"/>
    <w:link w:val="Textocomentario"/>
    <w:uiPriority w:val="99"/>
    <w:semiHidden/>
    <w:rsid w:val="00C508B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508BE"/>
    <w:rPr>
      <w:b/>
      <w:bCs/>
    </w:rPr>
  </w:style>
  <w:style w:type="character" w:customStyle="1" w:styleId="AsuntodelcomentarioCar">
    <w:name w:val="Asunto del comentario Car"/>
    <w:basedOn w:val="TextocomentarioCar"/>
    <w:link w:val="Asuntodelcomentario"/>
    <w:uiPriority w:val="99"/>
    <w:semiHidden/>
    <w:rsid w:val="00C508B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508BE"/>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8B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1205</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ALFARO SANCHEZ</dc:creator>
  <cp:lastModifiedBy>KAROLINA ALFARO SANCHEZ</cp:lastModifiedBy>
  <cp:revision>4</cp:revision>
  <dcterms:created xsi:type="dcterms:W3CDTF">2016-08-24T18:52:00Z</dcterms:created>
  <dcterms:modified xsi:type="dcterms:W3CDTF">2016-08-30T00:34:00Z</dcterms:modified>
</cp:coreProperties>
</file>