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90F55" w14:textId="0E924690" w:rsidR="005827ED" w:rsidRDefault="00EA6810" w:rsidP="00EB1F5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  <w:t xml:space="preserve">                                    </w:t>
      </w:r>
      <w:r w:rsidR="005827ED">
        <w:rPr>
          <w:rFonts w:ascii="Calibri" w:hAnsi="Calibri"/>
          <w:noProof/>
        </w:rPr>
        <w:drawing>
          <wp:inline distT="0" distB="0" distL="0" distR="0" wp14:anchorId="2DAD9AEC" wp14:editId="7603D74C">
            <wp:extent cx="5612130" cy="86106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2D355" w14:textId="2D80B5BE" w:rsidR="005827ED" w:rsidRPr="00880C5E" w:rsidRDefault="008D0414" w:rsidP="005827E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 w:rsidRPr="00880C5E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Circular No.</w:t>
      </w:r>
      <w:r w:rsidR="0016237E" w:rsidRPr="00880C5E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 </w:t>
      </w:r>
      <w:r w:rsidR="00EA6ADC" w:rsidRPr="00880C5E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81</w:t>
      </w:r>
      <w:r w:rsidR="0074718E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-2024</w:t>
      </w:r>
    </w:p>
    <w:p w14:paraId="2AADF9B2" w14:textId="77777777" w:rsidR="00D26B80" w:rsidRDefault="00EA6810" w:rsidP="00D26B80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val="es-ES" w:eastAsia="es-ES"/>
        </w:rPr>
      </w:pPr>
      <w:r w:rsidRPr="00C90F55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De:</w:t>
      </w:r>
      <w:r w:rsidR="001834B9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 </w:t>
      </w:r>
      <w:r w:rsidR="0074718E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  <w:t xml:space="preserve"> </w:t>
      </w:r>
      <w:r w:rsidR="00D26B8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  <w:r w:rsidRPr="00D26B80">
        <w:rPr>
          <w:rFonts w:ascii="Calibri" w:eastAsia="Times New Roman" w:hAnsi="Calibri" w:cs="Times New Roman"/>
          <w:bCs/>
          <w:sz w:val="24"/>
          <w:szCs w:val="24"/>
          <w:lang w:val="es-ES" w:eastAsia="es-ES"/>
        </w:rPr>
        <w:t>Licda. Adriana Esquivel Sanabria, Jefa a.í.</w:t>
      </w:r>
      <w:r w:rsidR="00D26B80">
        <w:rPr>
          <w:rFonts w:ascii="Calibri" w:eastAsia="Times New Roman" w:hAnsi="Calibri" w:cs="Times New Roman"/>
          <w:bCs/>
          <w:sz w:val="24"/>
          <w:szCs w:val="24"/>
          <w:lang w:val="es-ES" w:eastAsia="es-ES"/>
        </w:rPr>
        <w:t xml:space="preserve"> </w:t>
      </w:r>
    </w:p>
    <w:p w14:paraId="6BC05EA2" w14:textId="2BBDC7FD" w:rsidR="00EA6810" w:rsidRPr="00D26B80" w:rsidRDefault="00D26B80" w:rsidP="00D26B80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bCs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bCs/>
          <w:sz w:val="24"/>
          <w:szCs w:val="24"/>
          <w:lang w:val="es-ES" w:eastAsia="es-ES"/>
        </w:rPr>
        <w:t>D</w:t>
      </w:r>
      <w:r w:rsidR="00EA6810" w:rsidRPr="00D26B80">
        <w:rPr>
          <w:rFonts w:ascii="Calibri" w:eastAsia="Times New Roman" w:hAnsi="Calibri" w:cs="Times New Roman"/>
          <w:bCs/>
          <w:sz w:val="24"/>
          <w:szCs w:val="24"/>
          <w:lang w:val="es-ES" w:eastAsia="es-ES"/>
        </w:rPr>
        <w:t>epartamento de Proveeduría</w:t>
      </w:r>
    </w:p>
    <w:p w14:paraId="5FD7901C" w14:textId="77777777" w:rsidR="00EA6810" w:rsidRPr="00C90F55" w:rsidRDefault="00EA6810" w:rsidP="00EB1F51">
      <w:pPr>
        <w:spacing w:after="0" w:line="240" w:lineRule="auto"/>
        <w:ind w:left="1842" w:hanging="425"/>
        <w:jc w:val="both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</w:p>
    <w:p w14:paraId="0F57A65A" w14:textId="77777777" w:rsidR="00D26B80" w:rsidRDefault="00EA6810" w:rsidP="00D26B80">
      <w:pPr>
        <w:spacing w:after="0" w:line="240" w:lineRule="auto"/>
        <w:ind w:left="1416" w:hanging="1416"/>
        <w:jc w:val="both"/>
        <w:rPr>
          <w:rFonts w:ascii="Calibri" w:eastAsia="Times New Roman" w:hAnsi="Calibri" w:cs="Times New Roman"/>
          <w:bCs/>
          <w:sz w:val="24"/>
          <w:szCs w:val="24"/>
          <w:lang w:val="es-ES" w:eastAsia="es-ES"/>
        </w:rPr>
      </w:pPr>
      <w:r w:rsidRPr="00EA681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Para:</w:t>
      </w:r>
      <w:r w:rsidR="001834B9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 </w:t>
      </w:r>
      <w:r w:rsidR="00D26B8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  <w:r w:rsidRPr="00D26B80">
        <w:rPr>
          <w:rFonts w:ascii="Calibri" w:eastAsia="Times New Roman" w:hAnsi="Calibri" w:cs="Times New Roman"/>
          <w:bCs/>
          <w:sz w:val="24"/>
          <w:szCs w:val="24"/>
          <w:lang w:val="es-ES" w:eastAsia="es-ES"/>
        </w:rPr>
        <w:t>Responsables del Abastecimiento de Combustible de las Unidades</w:t>
      </w:r>
      <w:r w:rsidR="00A664AF" w:rsidRPr="00D26B80">
        <w:rPr>
          <w:rFonts w:ascii="Calibri" w:eastAsia="Times New Roman" w:hAnsi="Calibri" w:cs="Times New Roman"/>
          <w:bCs/>
          <w:sz w:val="24"/>
          <w:szCs w:val="24"/>
          <w:lang w:val="es-ES" w:eastAsia="es-ES"/>
        </w:rPr>
        <w:t xml:space="preserve"> del </w:t>
      </w:r>
    </w:p>
    <w:p w14:paraId="383ED27A" w14:textId="6F50F1C3" w:rsidR="00EA6810" w:rsidRPr="00EA6810" w:rsidRDefault="00A664AF" w:rsidP="00D26B80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 w:rsidRPr="00D26B80">
        <w:rPr>
          <w:rFonts w:ascii="Calibri" w:eastAsia="Times New Roman" w:hAnsi="Calibri" w:cs="Times New Roman"/>
          <w:bCs/>
          <w:sz w:val="24"/>
          <w:szCs w:val="24"/>
          <w:lang w:val="es-ES" w:eastAsia="es-ES"/>
        </w:rPr>
        <w:t>Poder Judicial.</w:t>
      </w:r>
      <w:r w:rsidR="00EA6810" w:rsidRPr="00EA681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 </w:t>
      </w:r>
      <w:r w:rsidR="0074718E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                 </w:t>
      </w:r>
      <w:r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        </w:t>
      </w:r>
    </w:p>
    <w:p w14:paraId="5D1D5754" w14:textId="77777777" w:rsidR="00EA6810" w:rsidRPr="00EA6810" w:rsidRDefault="00EA6810" w:rsidP="00EB1F51">
      <w:pPr>
        <w:spacing w:after="0" w:line="240" w:lineRule="auto"/>
        <w:ind w:left="1701" w:hanging="987"/>
        <w:jc w:val="both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 w:rsidRPr="00EA681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</w:p>
    <w:p w14:paraId="1A89393F" w14:textId="318E8675" w:rsidR="00EA6810" w:rsidRPr="00D26B80" w:rsidRDefault="00EA6810" w:rsidP="00D26B80">
      <w:pPr>
        <w:spacing w:after="0" w:line="240" w:lineRule="auto"/>
        <w:jc w:val="both"/>
        <w:rPr>
          <w:rFonts w:ascii="Calibri" w:eastAsia="Times New Roman" w:hAnsi="Calibri" w:cs="Times New Roman"/>
          <w:bCs/>
          <w:lang w:val="es-ES" w:eastAsia="es-ES"/>
        </w:rPr>
      </w:pPr>
      <w:r w:rsidRPr="00EA681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Asunto: </w:t>
      </w:r>
      <w:r w:rsidR="00D26B8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  <w:r w:rsidRPr="00D26B80">
        <w:rPr>
          <w:rFonts w:ascii="Calibri" w:eastAsia="Times New Roman" w:hAnsi="Calibri" w:cs="Times New Roman"/>
          <w:bCs/>
          <w:sz w:val="24"/>
          <w:szCs w:val="24"/>
          <w:lang w:val="es-ES" w:eastAsia="es-ES"/>
        </w:rPr>
        <w:t>Procedimiento para el Abastecimiento de Combustible</w:t>
      </w:r>
    </w:p>
    <w:p w14:paraId="49AC1685" w14:textId="1D65EF8B" w:rsidR="00EA6810" w:rsidRPr="00EA6810" w:rsidRDefault="00EA6810" w:rsidP="00EB1F51">
      <w:pPr>
        <w:spacing w:after="0" w:line="240" w:lineRule="auto"/>
        <w:ind w:left="1701" w:hanging="987"/>
        <w:jc w:val="both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</w:p>
    <w:p w14:paraId="212C4809" w14:textId="135FBF33" w:rsidR="00EA6810" w:rsidRDefault="00EA6810" w:rsidP="00D26B80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 w:rsidRPr="008E2ED8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Fecha:  </w:t>
      </w:r>
      <w:bookmarkStart w:id="0" w:name="_Hlk51170668"/>
      <w:r w:rsidRPr="008E2ED8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 </w:t>
      </w:r>
      <w:r w:rsidR="00D26B8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  <w:r w:rsidR="00355166">
        <w:rPr>
          <w:rFonts w:ascii="Calibri" w:eastAsia="Times New Roman" w:hAnsi="Calibri" w:cs="Times New Roman"/>
          <w:bCs/>
          <w:sz w:val="24"/>
          <w:szCs w:val="24"/>
          <w:lang w:val="es-ES" w:eastAsia="es-ES"/>
        </w:rPr>
        <w:t>2</w:t>
      </w:r>
      <w:r w:rsidR="00BA5149">
        <w:rPr>
          <w:rFonts w:ascii="Calibri" w:eastAsia="Times New Roman" w:hAnsi="Calibri" w:cs="Times New Roman"/>
          <w:bCs/>
          <w:sz w:val="24"/>
          <w:szCs w:val="24"/>
          <w:lang w:val="es-ES" w:eastAsia="es-ES"/>
        </w:rPr>
        <w:t>8</w:t>
      </w:r>
      <w:r w:rsidR="008E2ED8" w:rsidRPr="00D26B80">
        <w:rPr>
          <w:rFonts w:ascii="Calibri" w:eastAsia="Times New Roman" w:hAnsi="Calibri" w:cs="Times New Roman"/>
          <w:bCs/>
          <w:sz w:val="24"/>
          <w:szCs w:val="24"/>
          <w:lang w:val="es-ES" w:eastAsia="es-ES"/>
        </w:rPr>
        <w:t xml:space="preserve"> </w:t>
      </w:r>
      <w:r w:rsidRPr="00D26B80">
        <w:rPr>
          <w:rFonts w:ascii="Calibri" w:eastAsia="Times New Roman" w:hAnsi="Calibri" w:cs="Times New Roman"/>
          <w:bCs/>
          <w:sz w:val="24"/>
          <w:szCs w:val="24"/>
          <w:lang w:val="es-ES" w:eastAsia="es-ES"/>
        </w:rPr>
        <w:t xml:space="preserve">de </w:t>
      </w:r>
      <w:r w:rsidR="005827ED" w:rsidRPr="00D26B80">
        <w:rPr>
          <w:rFonts w:ascii="Calibri" w:eastAsia="Times New Roman" w:hAnsi="Calibri" w:cs="Times New Roman"/>
          <w:bCs/>
          <w:sz w:val="24"/>
          <w:szCs w:val="24"/>
          <w:lang w:val="es-ES" w:eastAsia="es-ES"/>
        </w:rPr>
        <w:t xml:space="preserve">octubre </w:t>
      </w:r>
      <w:r w:rsidRPr="00D26B80">
        <w:rPr>
          <w:rFonts w:ascii="Calibri" w:eastAsia="Times New Roman" w:hAnsi="Calibri" w:cs="Times New Roman"/>
          <w:bCs/>
          <w:sz w:val="24"/>
          <w:szCs w:val="24"/>
          <w:lang w:val="es-ES" w:eastAsia="es-ES"/>
        </w:rPr>
        <w:t>del 2024</w:t>
      </w:r>
      <w:r w:rsidRPr="00EA681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  </w:t>
      </w:r>
      <w:bookmarkEnd w:id="0"/>
    </w:p>
    <w:p w14:paraId="214D21DE" w14:textId="77777777" w:rsidR="00A664AF" w:rsidRDefault="00A664AF" w:rsidP="00A664AF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</w:p>
    <w:p w14:paraId="38B2AE87" w14:textId="77777777" w:rsidR="00A664AF" w:rsidRDefault="00A664AF" w:rsidP="00EB1F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FDF4D4" w14:textId="6990F6A0" w:rsidR="008D0414" w:rsidRPr="00EA6810" w:rsidRDefault="008D0414" w:rsidP="00EB1F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Se </w:t>
      </w:r>
      <w:r w:rsidR="003519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les cuerda </w:t>
      </w:r>
      <w:r w:rsidRPr="00EA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los responsables del abastecimiento de combustible de </w:t>
      </w:r>
      <w:r w:rsidR="007471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los vehículos </w:t>
      </w:r>
      <w:r w:rsidRPr="00EA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institucionales</w:t>
      </w:r>
      <w:r w:rsidR="007471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EA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sobre el procedimiento establecido para el uso de la tarjeta </w:t>
      </w:r>
      <w:r w:rsidR="003519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para el suministro de </w:t>
      </w:r>
      <w:r w:rsidRPr="00EA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combustible</w:t>
      </w:r>
      <w:r w:rsidR="003519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471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mediante el uso del sistema </w:t>
      </w:r>
      <w:r w:rsidR="003519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Flota 2.0</w:t>
      </w:r>
      <w:r w:rsidRPr="00EA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Esta tarjeta, en convenio con el Banco </w:t>
      </w:r>
      <w:r w:rsidR="00351959" w:rsidRPr="00EA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Nacional</w:t>
      </w:r>
      <w:r w:rsidR="007471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Costa Rica</w:t>
      </w:r>
      <w:r w:rsidR="00351959" w:rsidRPr="00EA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EA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es la única herramienta autorizada para la compra de combustible para los vehículos del Poder Judicial y debe utilizarse exclusivamente en las estaciones de servicio afiliadas al sistema.</w:t>
      </w:r>
    </w:p>
    <w:p w14:paraId="1CA61A65" w14:textId="4436843B" w:rsidR="008D0414" w:rsidRPr="00EA6810" w:rsidRDefault="008D0414" w:rsidP="00EB1F51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Para garantizar un procedimiento correcto en el abastecimiento de combustible, se debe</w:t>
      </w:r>
      <w:r w:rsidR="000178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</w:t>
      </w:r>
      <w:r w:rsidRPr="00EA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seguir l</w:t>
      </w:r>
      <w:r w:rsidR="000178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</w:t>
      </w:r>
      <w:r w:rsidRPr="00EA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siguiente</w:t>
      </w:r>
      <w:r w:rsidR="000178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EA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</w:t>
      </w:r>
      <w:r w:rsidR="000178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asos</w:t>
      </w:r>
      <w:r w:rsidRPr="00EA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332F7462" w14:textId="60231E11" w:rsidR="008D0414" w:rsidRPr="00EA6810" w:rsidRDefault="008D0414" w:rsidP="00EB1F51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A68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Proceso </w:t>
      </w:r>
      <w:r w:rsidR="000178D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para abastecer combustible </w:t>
      </w:r>
      <w:r w:rsidRPr="00EA68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en la Estación de Servicio:</w:t>
      </w:r>
    </w:p>
    <w:p w14:paraId="3E90B53C" w14:textId="594A61C6" w:rsidR="008D0414" w:rsidRDefault="008D0414" w:rsidP="000178DD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178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Indicar al pistero que el pago se realizará con la tarjeta Flota 2.0</w:t>
      </w:r>
      <w:r w:rsidR="000178DD" w:rsidRPr="000178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DB69196" w14:textId="77777777" w:rsidR="000178DD" w:rsidRPr="000178DD" w:rsidRDefault="000178DD" w:rsidP="000178DD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F32C14" w14:textId="4A89F71C" w:rsidR="00D26B80" w:rsidRDefault="00D26B80" w:rsidP="000178DD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178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Verificar que la tarjeta se encuentre activa y </w:t>
      </w:r>
      <w:r w:rsidR="000178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cuenta con</w:t>
      </w:r>
      <w:r w:rsidRPr="000178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saldo disponible para abastercer combustible. De esta forma también se verifica que la estación de servicio esté afiliada al sistema Flota 2.0.</w:t>
      </w:r>
    </w:p>
    <w:p w14:paraId="079E3EAD" w14:textId="77777777" w:rsidR="000178DD" w:rsidRPr="000178DD" w:rsidRDefault="000178DD" w:rsidP="000178DD">
      <w:pPr>
        <w:pStyle w:val="Prrafodelista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A6AC75" w14:textId="77777777" w:rsidR="008D0414" w:rsidRDefault="008D0414" w:rsidP="000178DD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178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Informar el tipo de combustible requerido y verificar que la máquina dispensadora esté en cero.</w:t>
      </w:r>
    </w:p>
    <w:p w14:paraId="3928D55F" w14:textId="77777777" w:rsidR="000178DD" w:rsidRPr="000178DD" w:rsidRDefault="000178DD" w:rsidP="000178DD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632C3A" w14:textId="60EF2D33" w:rsidR="008D0414" w:rsidRDefault="005827ED" w:rsidP="000178DD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178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Es responsabilidad del conductor p</w:t>
      </w:r>
      <w:r w:rsidR="008D0414" w:rsidRPr="000178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roporcionar al pistero el kilometraje actual del vehículo,</w:t>
      </w:r>
      <w:r w:rsidRPr="000178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D0414" w:rsidRPr="000178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según el odómetro.</w:t>
      </w:r>
    </w:p>
    <w:p w14:paraId="6975AB10" w14:textId="77777777" w:rsidR="000178DD" w:rsidRPr="000178DD" w:rsidRDefault="000178DD" w:rsidP="000178DD">
      <w:pPr>
        <w:pStyle w:val="Prrafodelista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A47BE5" w14:textId="77777777" w:rsidR="008D0414" w:rsidRPr="000178DD" w:rsidRDefault="008D0414" w:rsidP="000178DD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178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Tras el abastecimiento, confirmar con el pistero la cantidad de litros y el monto total a pagar.</w:t>
      </w:r>
    </w:p>
    <w:p w14:paraId="5370ED4F" w14:textId="747207ED" w:rsidR="00B61930" w:rsidRPr="000178DD" w:rsidRDefault="008D0414" w:rsidP="000178DD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178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Estar presente durante la transacción en el datáfono. El pistero ingresará el número de placa, el kilometraje de la unidad y solicitará el PIN. Este PIN es personal y no debe ser dictado verbalmente ni ingresado erróneamente por el pistero. Finalmente, el pistero ingresará el monto de la transacción.</w:t>
      </w:r>
    </w:p>
    <w:p w14:paraId="0604B0E4" w14:textId="081ADCAE" w:rsidR="008D0414" w:rsidRPr="00EA6810" w:rsidRDefault="008D0414" w:rsidP="00EB1F51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A68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Verificación del Voucher:</w:t>
      </w:r>
    </w:p>
    <w:p w14:paraId="7D02D857" w14:textId="69E2E349" w:rsidR="008D0414" w:rsidRPr="000178DD" w:rsidRDefault="008D0414" w:rsidP="000178DD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178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 recibir el voucher, verificar que los datos coincidan con los del dispensador: número de placa, kilometraje de la unidad, monto a pagar y cantidad de litros. Asegurarse también de que el nombre del firmante esté correctamente indicado. Si hay discrepancias, solicitar al pistero la anulación de la transacción y generar un nuevo cobro</w:t>
      </w:r>
      <w:r w:rsidR="00FA6D5B" w:rsidRPr="000178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es responsabilidad del conductor entregar facturas a la oficina correspondiente para el proceso de conciliación</w:t>
      </w:r>
      <w:r w:rsidRPr="000178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13286AD" w14:textId="64F43825" w:rsidR="008D0414" w:rsidRPr="00EA6810" w:rsidRDefault="008D0414" w:rsidP="00EB1F51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A68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Problemas con el Datáfono</w:t>
      </w:r>
      <w:r w:rsidR="008E2ED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u otros</w:t>
      </w:r>
      <w:r w:rsidRPr="00EA68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3A658B77" w14:textId="54427A22" w:rsidR="008D0414" w:rsidRPr="00EA6810" w:rsidRDefault="008D0414" w:rsidP="00EB1F51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 caso de pérdida de conexión del datáfono, solicitar al pistero que llame a Versate para obtener soporte para una autorización manual. El call center está disponible las 24 horas del día, todos los días del año. Los números telefónicos de contacto se adjuntan a continuación:</w:t>
      </w:r>
    </w:p>
    <w:p w14:paraId="6D811365" w14:textId="665B66F7" w:rsidR="008D0414" w:rsidRPr="00EA6810" w:rsidRDefault="008D0414" w:rsidP="00EB1F5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6810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5B8A02A5" wp14:editId="589469E1">
            <wp:extent cx="2581275" cy="1502609"/>
            <wp:effectExtent l="0" t="0" r="0" b="2540"/>
            <wp:docPr id="4078463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8463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7245" cy="15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772C3" w14:textId="65CE9AB2" w:rsidR="008D0414" w:rsidRPr="00EA6810" w:rsidRDefault="008D0414" w:rsidP="00EB1F51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A68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Nota Importante:</w:t>
      </w:r>
    </w:p>
    <w:p w14:paraId="6EAA86DE" w14:textId="77777777" w:rsidR="008D0414" w:rsidRDefault="008D0414" w:rsidP="00EB1F51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 se debe abandonar la estación de servicio sin haber completado la cancelación de la factura.</w:t>
      </w:r>
    </w:p>
    <w:p w14:paraId="2CB02061" w14:textId="3FB6FDA6" w:rsidR="00F07A78" w:rsidRDefault="005827ED" w:rsidP="005827E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 caso de dudas o consultas, pueden comunicarse con Viviana Monge Barboza la Ext 01-3204, Teams,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A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correo prove-combustible@Poder-Judicial.go.cr, en el Departamento de Proveeduría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EA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en horario de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lunes a viernes de</w:t>
      </w:r>
      <w:r w:rsidRPr="00EA6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7:30 am a 4:30 pm.</w:t>
      </w:r>
    </w:p>
    <w:p w14:paraId="735CEA2F" w14:textId="07A597B7" w:rsidR="005827ED" w:rsidRPr="00EA6810" w:rsidRDefault="005827ED" w:rsidP="005827E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5827ED" w:rsidRPr="00EA68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6778C"/>
    <w:multiLevelType w:val="hybridMultilevel"/>
    <w:tmpl w:val="2488C07A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05DAB"/>
    <w:multiLevelType w:val="multilevel"/>
    <w:tmpl w:val="7E70F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137FB"/>
    <w:multiLevelType w:val="hybridMultilevel"/>
    <w:tmpl w:val="7A848C7E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650321">
    <w:abstractNumId w:val="1"/>
  </w:num>
  <w:num w:numId="2" w16cid:durableId="1639991605">
    <w:abstractNumId w:val="2"/>
  </w:num>
  <w:num w:numId="3" w16cid:durableId="591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14"/>
    <w:rsid w:val="000178DD"/>
    <w:rsid w:val="0008228F"/>
    <w:rsid w:val="0016237E"/>
    <w:rsid w:val="001834B9"/>
    <w:rsid w:val="00242650"/>
    <w:rsid w:val="00351959"/>
    <w:rsid w:val="00355166"/>
    <w:rsid w:val="005827ED"/>
    <w:rsid w:val="0074718E"/>
    <w:rsid w:val="00880C5E"/>
    <w:rsid w:val="008D0414"/>
    <w:rsid w:val="008E2ED8"/>
    <w:rsid w:val="00954133"/>
    <w:rsid w:val="009A02D3"/>
    <w:rsid w:val="009C2D0D"/>
    <w:rsid w:val="00A664AF"/>
    <w:rsid w:val="00B61930"/>
    <w:rsid w:val="00BA5149"/>
    <w:rsid w:val="00C90F55"/>
    <w:rsid w:val="00CB0529"/>
    <w:rsid w:val="00D26B80"/>
    <w:rsid w:val="00DC033C"/>
    <w:rsid w:val="00E12E01"/>
    <w:rsid w:val="00EA6810"/>
    <w:rsid w:val="00EA6ADC"/>
    <w:rsid w:val="00EB1F51"/>
    <w:rsid w:val="00F07A78"/>
    <w:rsid w:val="00FA6D5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FCA2"/>
  <w15:chartTrackingRefBased/>
  <w15:docId w15:val="{6E4CE61B-67A8-4B92-A834-A97BBBE0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R"/>
      <w14:ligatures w14:val="none"/>
    </w:rPr>
  </w:style>
  <w:style w:type="character" w:styleId="Textoennegrita">
    <w:name w:val="Strong"/>
    <w:basedOn w:val="Fuentedeprrafopredeter"/>
    <w:uiPriority w:val="22"/>
    <w:qFormat/>
    <w:rsid w:val="008D041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D041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17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3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Melissa Monge Barboza</dc:creator>
  <cp:keywords/>
  <dc:description/>
  <cp:lastModifiedBy>Siani Arguedas Roman</cp:lastModifiedBy>
  <cp:revision>2</cp:revision>
  <cp:lastPrinted>2024-10-28T17:50:00Z</cp:lastPrinted>
  <dcterms:created xsi:type="dcterms:W3CDTF">2024-11-06T21:14:00Z</dcterms:created>
  <dcterms:modified xsi:type="dcterms:W3CDTF">2024-11-06T21:14:00Z</dcterms:modified>
</cp:coreProperties>
</file>