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1E9E3" w14:textId="77777777" w:rsidR="00581770" w:rsidRPr="00AE0995" w:rsidRDefault="00581770" w:rsidP="004D3328">
      <w:pPr>
        <w:autoSpaceDE w:val="0"/>
        <w:autoSpaceDN w:val="0"/>
        <w:adjustRightInd w:val="0"/>
        <w:jc w:val="both"/>
        <w:rPr>
          <w:rFonts w:ascii="Arial" w:hAnsi="Arial" w:cs="Arial"/>
          <w:lang w:val="es-CR"/>
        </w:rPr>
      </w:pPr>
    </w:p>
    <w:p w14:paraId="42E1E9E4" w14:textId="04D49040" w:rsidR="00581770" w:rsidRPr="00240CFF" w:rsidRDefault="00581770" w:rsidP="004D3328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  <w:lang w:val="es-CR"/>
        </w:rPr>
      </w:pPr>
      <w:r w:rsidRPr="00240CFF">
        <w:rPr>
          <w:rFonts w:ascii="Arial" w:hAnsi="Arial" w:cs="Arial"/>
          <w:b/>
          <w:sz w:val="22"/>
          <w:szCs w:val="22"/>
          <w:lang w:val="es-CR"/>
        </w:rPr>
        <w:t>C</w:t>
      </w:r>
      <w:r w:rsidR="00AE0995" w:rsidRPr="00240CFF">
        <w:rPr>
          <w:rFonts w:ascii="Arial" w:hAnsi="Arial" w:cs="Arial"/>
          <w:b/>
          <w:sz w:val="22"/>
          <w:szCs w:val="22"/>
          <w:lang w:val="es-CR"/>
        </w:rPr>
        <w:t xml:space="preserve">ircular </w:t>
      </w:r>
      <w:r w:rsidRPr="00240CFF">
        <w:rPr>
          <w:rFonts w:ascii="Arial" w:hAnsi="Arial" w:cs="Arial"/>
          <w:b/>
          <w:sz w:val="22"/>
          <w:szCs w:val="22"/>
          <w:lang w:val="es-CR"/>
        </w:rPr>
        <w:t>N</w:t>
      </w:r>
      <w:r w:rsidR="00AE0995" w:rsidRPr="00240CFF">
        <w:rPr>
          <w:rFonts w:ascii="Arial" w:hAnsi="Arial" w:cs="Arial"/>
          <w:b/>
          <w:sz w:val="22"/>
          <w:szCs w:val="22"/>
          <w:lang w:val="es-CR"/>
        </w:rPr>
        <w:t>o.</w:t>
      </w:r>
      <w:r w:rsidRPr="00240CFF">
        <w:rPr>
          <w:rFonts w:ascii="Arial" w:hAnsi="Arial" w:cs="Arial"/>
          <w:b/>
          <w:sz w:val="22"/>
          <w:szCs w:val="22"/>
          <w:lang w:val="es-CR"/>
        </w:rPr>
        <w:t xml:space="preserve"> </w:t>
      </w:r>
      <w:r w:rsidR="000F304B">
        <w:rPr>
          <w:rFonts w:ascii="Arial" w:hAnsi="Arial" w:cs="Arial"/>
          <w:b/>
          <w:sz w:val="22"/>
          <w:szCs w:val="22"/>
          <w:lang w:val="es-CR"/>
        </w:rPr>
        <w:t>43</w:t>
      </w:r>
      <w:r w:rsidR="004B3B0C" w:rsidRPr="00240CFF">
        <w:rPr>
          <w:rFonts w:ascii="Arial" w:hAnsi="Arial" w:cs="Arial"/>
          <w:b/>
          <w:sz w:val="22"/>
          <w:szCs w:val="22"/>
          <w:lang w:val="es-CR"/>
        </w:rPr>
        <w:t>-</w:t>
      </w:r>
      <w:r w:rsidR="00E51B30">
        <w:rPr>
          <w:rFonts w:ascii="Arial" w:hAnsi="Arial" w:cs="Arial"/>
          <w:b/>
          <w:sz w:val="22"/>
          <w:szCs w:val="22"/>
          <w:lang w:val="es-CR"/>
        </w:rPr>
        <w:t>2024</w:t>
      </w:r>
    </w:p>
    <w:p w14:paraId="42E1E9E5" w14:textId="77777777" w:rsidR="00AE0995" w:rsidRPr="00240CFF" w:rsidRDefault="00AE0995" w:rsidP="004D3328">
      <w:pPr>
        <w:tabs>
          <w:tab w:val="left" w:pos="1704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  <w:lang w:val="es-CR"/>
        </w:rPr>
      </w:pPr>
    </w:p>
    <w:p w14:paraId="42E1E9E6" w14:textId="77777777" w:rsidR="00581770" w:rsidRPr="00240CFF" w:rsidRDefault="00581770" w:rsidP="004D3328">
      <w:pPr>
        <w:tabs>
          <w:tab w:val="left" w:pos="1704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s-CR"/>
        </w:rPr>
      </w:pPr>
      <w:r w:rsidRPr="00240CFF">
        <w:rPr>
          <w:rFonts w:ascii="Arial" w:hAnsi="Arial" w:cs="Arial"/>
          <w:b/>
          <w:sz w:val="22"/>
          <w:szCs w:val="22"/>
          <w:lang w:val="es-CR"/>
        </w:rPr>
        <w:t>D</w:t>
      </w:r>
      <w:r w:rsidR="00AE0995" w:rsidRPr="00240CFF">
        <w:rPr>
          <w:rFonts w:ascii="Arial" w:hAnsi="Arial" w:cs="Arial"/>
          <w:b/>
          <w:sz w:val="22"/>
          <w:szCs w:val="22"/>
          <w:lang w:val="es-CR"/>
        </w:rPr>
        <w:t>e</w:t>
      </w:r>
      <w:r w:rsidRPr="00240CFF">
        <w:rPr>
          <w:rFonts w:ascii="Arial" w:hAnsi="Arial" w:cs="Arial"/>
          <w:b/>
          <w:sz w:val="22"/>
          <w:szCs w:val="22"/>
          <w:lang w:val="es-CR"/>
        </w:rPr>
        <w:t>:</w:t>
      </w:r>
      <w:r w:rsidR="003655F2">
        <w:rPr>
          <w:rFonts w:ascii="Arial" w:hAnsi="Arial" w:cs="Arial"/>
          <w:sz w:val="22"/>
          <w:szCs w:val="22"/>
          <w:lang w:val="es-CR"/>
        </w:rPr>
        <w:t xml:space="preserve"> </w:t>
      </w:r>
      <w:r w:rsidR="00365E47" w:rsidRPr="00240CFF">
        <w:rPr>
          <w:rFonts w:ascii="Arial" w:hAnsi="Arial" w:cs="Arial"/>
          <w:sz w:val="22"/>
          <w:szCs w:val="22"/>
          <w:lang w:val="es-CR"/>
        </w:rPr>
        <w:t>Licda</w:t>
      </w:r>
      <w:r w:rsidR="003655F2">
        <w:rPr>
          <w:rFonts w:ascii="Arial" w:hAnsi="Arial" w:cs="Arial"/>
          <w:sz w:val="22"/>
          <w:szCs w:val="22"/>
          <w:lang w:val="es-CR"/>
        </w:rPr>
        <w:t>, Adriana Esquivel Sanabria</w:t>
      </w:r>
      <w:r w:rsidRPr="00240CFF">
        <w:rPr>
          <w:rFonts w:ascii="Arial" w:hAnsi="Arial" w:cs="Arial"/>
          <w:sz w:val="22"/>
          <w:szCs w:val="22"/>
          <w:lang w:val="es-CR"/>
        </w:rPr>
        <w:t>,</w:t>
      </w:r>
      <w:r w:rsidR="007D0833" w:rsidRPr="00240CFF">
        <w:rPr>
          <w:rFonts w:ascii="Arial" w:hAnsi="Arial" w:cs="Arial"/>
          <w:sz w:val="22"/>
          <w:szCs w:val="22"/>
          <w:lang w:val="es-CR"/>
        </w:rPr>
        <w:t xml:space="preserve"> Jef</w:t>
      </w:r>
      <w:r w:rsidR="00365E47" w:rsidRPr="00240CFF">
        <w:rPr>
          <w:rFonts w:ascii="Arial" w:hAnsi="Arial" w:cs="Arial"/>
          <w:sz w:val="22"/>
          <w:szCs w:val="22"/>
          <w:lang w:val="es-CR"/>
        </w:rPr>
        <w:t>a</w:t>
      </w:r>
      <w:r w:rsidR="000571F8">
        <w:rPr>
          <w:rFonts w:ascii="Arial" w:hAnsi="Arial" w:cs="Arial"/>
          <w:sz w:val="22"/>
          <w:szCs w:val="22"/>
          <w:lang w:val="es-CR"/>
        </w:rPr>
        <w:t xml:space="preserve"> </w:t>
      </w:r>
      <w:r w:rsidR="007D0833" w:rsidRPr="00240CFF">
        <w:rPr>
          <w:rFonts w:ascii="Arial" w:hAnsi="Arial" w:cs="Arial"/>
          <w:sz w:val="22"/>
          <w:szCs w:val="22"/>
          <w:lang w:val="es-CR"/>
        </w:rPr>
        <w:t>Departamento de Proveeduría</w:t>
      </w:r>
      <w:r w:rsidR="007773F0" w:rsidRPr="00240CFF">
        <w:rPr>
          <w:rFonts w:ascii="Arial" w:hAnsi="Arial" w:cs="Arial"/>
          <w:sz w:val="22"/>
          <w:szCs w:val="22"/>
          <w:lang w:val="es-CR"/>
        </w:rPr>
        <w:t xml:space="preserve"> </w:t>
      </w:r>
    </w:p>
    <w:p w14:paraId="42E1E9E7" w14:textId="77777777" w:rsidR="00AE0995" w:rsidRPr="00240CFF" w:rsidRDefault="00AE0995" w:rsidP="004D3328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  <w:lang w:val="es-CR"/>
        </w:rPr>
      </w:pPr>
    </w:p>
    <w:p w14:paraId="42E1E9E8" w14:textId="77777777" w:rsidR="00581770" w:rsidRPr="00240CFF" w:rsidRDefault="00581770" w:rsidP="004D332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s-CR"/>
        </w:rPr>
      </w:pPr>
      <w:r w:rsidRPr="00240CFF">
        <w:rPr>
          <w:rFonts w:ascii="Arial" w:hAnsi="Arial" w:cs="Arial"/>
          <w:b/>
          <w:sz w:val="22"/>
          <w:szCs w:val="22"/>
          <w:lang w:val="es-CR"/>
        </w:rPr>
        <w:t>P</w:t>
      </w:r>
      <w:r w:rsidR="00AE0995" w:rsidRPr="00240CFF">
        <w:rPr>
          <w:rFonts w:ascii="Arial" w:hAnsi="Arial" w:cs="Arial"/>
          <w:b/>
          <w:sz w:val="22"/>
          <w:szCs w:val="22"/>
          <w:lang w:val="es-CR"/>
        </w:rPr>
        <w:t xml:space="preserve">ara: </w:t>
      </w:r>
      <w:r w:rsidR="00E73D2E" w:rsidRPr="00240CFF">
        <w:rPr>
          <w:rFonts w:ascii="Arial" w:hAnsi="Arial" w:cs="Arial"/>
          <w:sz w:val="22"/>
          <w:szCs w:val="22"/>
        </w:rPr>
        <w:t>Oficinas Judiciales de todo el país.</w:t>
      </w:r>
    </w:p>
    <w:p w14:paraId="42E1E9E9" w14:textId="77777777" w:rsidR="00581770" w:rsidRPr="00240CFF" w:rsidRDefault="00581770" w:rsidP="004D332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s-CR"/>
        </w:rPr>
      </w:pPr>
    </w:p>
    <w:p w14:paraId="42E1E9EA" w14:textId="40CE006A" w:rsidR="00581770" w:rsidRPr="00240CFF" w:rsidRDefault="00581770" w:rsidP="004D3328">
      <w:pPr>
        <w:tabs>
          <w:tab w:val="left" w:pos="1276"/>
          <w:tab w:val="left" w:pos="1418"/>
          <w:tab w:val="left" w:pos="1560"/>
          <w:tab w:val="left" w:pos="1704"/>
          <w:tab w:val="left" w:pos="1985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s-CR"/>
        </w:rPr>
      </w:pPr>
      <w:r w:rsidRPr="00240CFF">
        <w:rPr>
          <w:rFonts w:ascii="Arial" w:hAnsi="Arial" w:cs="Arial"/>
          <w:b/>
          <w:sz w:val="22"/>
          <w:szCs w:val="22"/>
          <w:lang w:val="es-CR"/>
        </w:rPr>
        <w:t>A</w:t>
      </w:r>
      <w:r w:rsidR="00AE0995" w:rsidRPr="00240CFF">
        <w:rPr>
          <w:rFonts w:ascii="Arial" w:hAnsi="Arial" w:cs="Arial"/>
          <w:b/>
          <w:sz w:val="22"/>
          <w:szCs w:val="22"/>
          <w:lang w:val="es-CR"/>
        </w:rPr>
        <w:t>sunto</w:t>
      </w:r>
      <w:r w:rsidRPr="00240CFF">
        <w:rPr>
          <w:rFonts w:ascii="Arial" w:hAnsi="Arial" w:cs="Arial"/>
          <w:b/>
          <w:sz w:val="22"/>
          <w:szCs w:val="22"/>
          <w:lang w:val="es-CR"/>
        </w:rPr>
        <w:t>:</w:t>
      </w:r>
      <w:r w:rsidR="00F6419F">
        <w:rPr>
          <w:rFonts w:ascii="Arial" w:hAnsi="Arial" w:cs="Arial"/>
          <w:b/>
          <w:sz w:val="22"/>
          <w:szCs w:val="22"/>
          <w:lang w:val="es-CR"/>
        </w:rPr>
        <w:t xml:space="preserve"> </w:t>
      </w:r>
      <w:r w:rsidR="00874C10" w:rsidRPr="00240CFF">
        <w:rPr>
          <w:rFonts w:ascii="Arial" w:hAnsi="Arial" w:cs="Arial"/>
          <w:sz w:val="22"/>
          <w:szCs w:val="22"/>
          <w:lang w:val="es-CR"/>
        </w:rPr>
        <w:t xml:space="preserve">Convocatoria para iniciar el </w:t>
      </w:r>
      <w:r w:rsidR="00874C10" w:rsidRPr="00240CFF">
        <w:rPr>
          <w:rFonts w:ascii="Arial" w:hAnsi="Arial" w:cs="Arial"/>
          <w:sz w:val="22"/>
          <w:szCs w:val="22"/>
        </w:rPr>
        <w:t xml:space="preserve">Inventario </w:t>
      </w:r>
      <w:r w:rsidR="0084694D">
        <w:rPr>
          <w:rFonts w:ascii="Arial" w:hAnsi="Arial" w:cs="Arial"/>
          <w:sz w:val="22"/>
          <w:szCs w:val="22"/>
        </w:rPr>
        <w:t>g</w:t>
      </w:r>
      <w:r w:rsidR="00CF53C7" w:rsidRPr="00240CFF">
        <w:rPr>
          <w:rFonts w:ascii="Arial" w:hAnsi="Arial" w:cs="Arial"/>
          <w:sz w:val="22"/>
          <w:szCs w:val="22"/>
        </w:rPr>
        <w:t>eneral</w:t>
      </w:r>
      <w:r w:rsidR="00874C10" w:rsidRPr="00240CFF">
        <w:rPr>
          <w:rFonts w:ascii="Arial" w:hAnsi="Arial" w:cs="Arial"/>
          <w:sz w:val="22"/>
          <w:szCs w:val="22"/>
        </w:rPr>
        <w:t xml:space="preserve"> de activos</w:t>
      </w:r>
      <w:r w:rsidR="00FE5B77" w:rsidRPr="00240CFF">
        <w:rPr>
          <w:rFonts w:ascii="Arial" w:hAnsi="Arial" w:cs="Arial"/>
          <w:sz w:val="22"/>
          <w:szCs w:val="22"/>
        </w:rPr>
        <w:t xml:space="preserve"> fijos</w:t>
      </w:r>
      <w:r w:rsidR="00C15E08" w:rsidRPr="00240CFF">
        <w:rPr>
          <w:rFonts w:ascii="Arial" w:hAnsi="Arial" w:cs="Arial"/>
          <w:sz w:val="22"/>
          <w:szCs w:val="22"/>
        </w:rPr>
        <w:t xml:space="preserve">, periodo </w:t>
      </w:r>
      <w:r w:rsidR="00465D11">
        <w:rPr>
          <w:rFonts w:ascii="Arial" w:hAnsi="Arial" w:cs="Arial"/>
          <w:sz w:val="22"/>
          <w:szCs w:val="22"/>
        </w:rPr>
        <w:t>2024</w:t>
      </w:r>
      <w:r w:rsidR="00874C10" w:rsidRPr="00240CFF">
        <w:rPr>
          <w:rFonts w:ascii="Arial" w:hAnsi="Arial" w:cs="Arial"/>
          <w:sz w:val="22"/>
          <w:szCs w:val="22"/>
        </w:rPr>
        <w:t>.</w:t>
      </w:r>
    </w:p>
    <w:p w14:paraId="42E1E9EB" w14:textId="77777777" w:rsidR="00AE0995" w:rsidRPr="00240CFF" w:rsidRDefault="00AE0995" w:rsidP="004D3328">
      <w:pPr>
        <w:tabs>
          <w:tab w:val="left" w:pos="1704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s-CR"/>
        </w:rPr>
      </w:pPr>
    </w:p>
    <w:p w14:paraId="42E1E9EC" w14:textId="1463DF09" w:rsidR="00315B54" w:rsidRPr="00240CFF" w:rsidRDefault="00581770" w:rsidP="004D3328">
      <w:pPr>
        <w:pBdr>
          <w:bottom w:val="single" w:sz="12" w:space="1" w:color="auto"/>
        </w:pBdr>
        <w:tabs>
          <w:tab w:val="left" w:pos="1704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s-CR"/>
        </w:rPr>
      </w:pPr>
      <w:r w:rsidRPr="00240CFF">
        <w:rPr>
          <w:rFonts w:ascii="Arial" w:hAnsi="Arial" w:cs="Arial"/>
          <w:b/>
          <w:sz w:val="22"/>
          <w:szCs w:val="22"/>
          <w:lang w:val="es-CR"/>
        </w:rPr>
        <w:t>F</w:t>
      </w:r>
      <w:r w:rsidR="00AE0995" w:rsidRPr="00240CFF">
        <w:rPr>
          <w:rFonts w:ascii="Arial" w:hAnsi="Arial" w:cs="Arial"/>
          <w:b/>
          <w:sz w:val="22"/>
          <w:szCs w:val="22"/>
          <w:lang w:val="es-CR"/>
        </w:rPr>
        <w:t>echa</w:t>
      </w:r>
      <w:r w:rsidRPr="00240CFF">
        <w:rPr>
          <w:rFonts w:ascii="Arial" w:hAnsi="Arial" w:cs="Arial"/>
          <w:b/>
          <w:sz w:val="22"/>
          <w:szCs w:val="22"/>
          <w:lang w:val="es-CR"/>
        </w:rPr>
        <w:t>:</w:t>
      </w:r>
      <w:r w:rsidR="0084694D">
        <w:rPr>
          <w:rFonts w:ascii="Arial" w:hAnsi="Arial" w:cs="Arial"/>
          <w:b/>
          <w:sz w:val="22"/>
          <w:szCs w:val="22"/>
          <w:lang w:val="es-CR"/>
        </w:rPr>
        <w:t xml:space="preserve"> </w:t>
      </w:r>
      <w:r w:rsidR="00D7756E">
        <w:rPr>
          <w:rFonts w:ascii="Arial" w:hAnsi="Arial" w:cs="Arial"/>
          <w:sz w:val="22"/>
          <w:szCs w:val="22"/>
          <w:lang w:val="es-CR"/>
        </w:rPr>
        <w:t>26</w:t>
      </w:r>
      <w:r w:rsidR="007C7030" w:rsidRPr="00240CFF">
        <w:rPr>
          <w:rFonts w:ascii="Arial" w:hAnsi="Arial" w:cs="Arial"/>
          <w:sz w:val="22"/>
          <w:szCs w:val="22"/>
          <w:lang w:val="es-CR"/>
        </w:rPr>
        <w:t xml:space="preserve"> </w:t>
      </w:r>
      <w:r w:rsidRPr="00240CFF">
        <w:rPr>
          <w:rFonts w:ascii="Arial" w:hAnsi="Arial" w:cs="Arial"/>
          <w:sz w:val="22"/>
          <w:szCs w:val="22"/>
          <w:lang w:val="es-CR"/>
        </w:rPr>
        <w:t xml:space="preserve">de </w:t>
      </w:r>
      <w:r w:rsidR="006532B9">
        <w:rPr>
          <w:rFonts w:ascii="Arial" w:hAnsi="Arial" w:cs="Arial"/>
          <w:sz w:val="22"/>
          <w:szCs w:val="22"/>
          <w:lang w:val="es-CR"/>
        </w:rPr>
        <w:t>abril</w:t>
      </w:r>
      <w:r w:rsidR="00577ABB" w:rsidRPr="00240CFF">
        <w:rPr>
          <w:rFonts w:ascii="Arial" w:hAnsi="Arial" w:cs="Arial"/>
          <w:sz w:val="22"/>
          <w:szCs w:val="22"/>
          <w:lang w:val="es-CR"/>
        </w:rPr>
        <w:t xml:space="preserve"> </w:t>
      </w:r>
      <w:r w:rsidR="00135CD0" w:rsidRPr="00240CFF">
        <w:rPr>
          <w:rFonts w:ascii="Arial" w:hAnsi="Arial" w:cs="Arial"/>
          <w:sz w:val="22"/>
          <w:szCs w:val="22"/>
          <w:lang w:val="es-CR"/>
        </w:rPr>
        <w:t xml:space="preserve">del </w:t>
      </w:r>
      <w:r w:rsidR="006532B9">
        <w:rPr>
          <w:rFonts w:ascii="Arial" w:hAnsi="Arial" w:cs="Arial"/>
          <w:sz w:val="22"/>
          <w:szCs w:val="22"/>
          <w:lang w:val="es-CR"/>
        </w:rPr>
        <w:t>2024</w:t>
      </w:r>
    </w:p>
    <w:p w14:paraId="42E1E9ED" w14:textId="77777777" w:rsidR="00315B54" w:rsidRPr="00240CFF" w:rsidRDefault="00315B54" w:rsidP="004D3328">
      <w:pPr>
        <w:tabs>
          <w:tab w:val="left" w:pos="1704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s-CR"/>
        </w:rPr>
      </w:pPr>
    </w:p>
    <w:p w14:paraId="42391E96" w14:textId="77777777" w:rsidR="00B603AD" w:rsidRDefault="00B603AD" w:rsidP="004D3328">
      <w:pPr>
        <w:jc w:val="both"/>
        <w:rPr>
          <w:rFonts w:ascii="Arial" w:hAnsi="Arial" w:cs="Arial"/>
          <w:sz w:val="22"/>
          <w:szCs w:val="22"/>
        </w:rPr>
      </w:pPr>
    </w:p>
    <w:p w14:paraId="7B7D9C4D" w14:textId="113E7DEB" w:rsidR="00BE5A1F" w:rsidRDefault="00CA53F7" w:rsidP="004D332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 acuerdo con</w:t>
      </w:r>
      <w:r w:rsidR="00F55B88">
        <w:rPr>
          <w:rFonts w:ascii="Arial" w:hAnsi="Arial" w:cs="Arial"/>
          <w:sz w:val="22"/>
          <w:szCs w:val="22"/>
        </w:rPr>
        <w:t xml:space="preserve"> lo </w:t>
      </w:r>
      <w:r>
        <w:rPr>
          <w:rFonts w:ascii="Arial" w:hAnsi="Arial" w:cs="Arial"/>
          <w:sz w:val="22"/>
          <w:szCs w:val="22"/>
        </w:rPr>
        <w:t>establecido</w:t>
      </w:r>
      <w:r w:rsidR="00BE5A1F">
        <w:rPr>
          <w:rFonts w:ascii="Arial" w:hAnsi="Arial" w:cs="Arial"/>
          <w:sz w:val="22"/>
          <w:szCs w:val="22"/>
        </w:rPr>
        <w:t xml:space="preserve"> en el</w:t>
      </w:r>
      <w:r w:rsidR="00C66DAC">
        <w:rPr>
          <w:rFonts w:ascii="Arial" w:hAnsi="Arial" w:cs="Arial"/>
          <w:sz w:val="22"/>
          <w:szCs w:val="22"/>
        </w:rPr>
        <w:t xml:space="preserve"> artículo N°</w:t>
      </w:r>
      <w:r w:rsidR="00BE5A1F">
        <w:rPr>
          <w:rFonts w:ascii="Arial" w:hAnsi="Arial" w:cs="Arial"/>
          <w:sz w:val="22"/>
          <w:szCs w:val="22"/>
        </w:rPr>
        <w:t xml:space="preserve"> </w:t>
      </w:r>
      <w:r w:rsidR="00C66DAC">
        <w:rPr>
          <w:rFonts w:ascii="Arial" w:hAnsi="Arial" w:cs="Arial"/>
          <w:sz w:val="22"/>
          <w:szCs w:val="22"/>
        </w:rPr>
        <w:t xml:space="preserve">27 del </w:t>
      </w:r>
      <w:r w:rsidR="00BE5A1F" w:rsidRPr="00240CFF">
        <w:rPr>
          <w:rFonts w:ascii="Arial" w:hAnsi="Arial" w:cs="Arial"/>
          <w:sz w:val="22"/>
          <w:szCs w:val="22"/>
        </w:rPr>
        <w:t>Reglamento para el Registro, Control y uso de activos institucionales del Poder Judicial</w:t>
      </w:r>
      <w:r w:rsidR="00C66DAC">
        <w:rPr>
          <w:rFonts w:ascii="Arial" w:hAnsi="Arial" w:cs="Arial"/>
          <w:sz w:val="22"/>
          <w:szCs w:val="22"/>
        </w:rPr>
        <w:t>, el cual indica:</w:t>
      </w:r>
    </w:p>
    <w:p w14:paraId="42925135" w14:textId="77777777" w:rsidR="00BE5A1F" w:rsidRDefault="00BE5A1F" w:rsidP="004D3328">
      <w:pPr>
        <w:jc w:val="both"/>
        <w:rPr>
          <w:rFonts w:ascii="Arial" w:hAnsi="Arial" w:cs="Arial"/>
          <w:sz w:val="22"/>
          <w:szCs w:val="22"/>
        </w:rPr>
      </w:pPr>
    </w:p>
    <w:p w14:paraId="42E1E9F5" w14:textId="58270532" w:rsidR="006954A8" w:rsidRPr="00FE3802" w:rsidRDefault="0074215A" w:rsidP="00465D11">
      <w:pPr>
        <w:autoSpaceDE w:val="0"/>
        <w:autoSpaceDN w:val="0"/>
        <w:spacing w:before="120" w:after="120"/>
        <w:ind w:left="284" w:right="284"/>
        <w:jc w:val="both"/>
        <w:rPr>
          <w:rFonts w:ascii="Arial" w:eastAsia="Calibri" w:hAnsi="Arial" w:cs="Arial"/>
          <w:i/>
          <w:sz w:val="20"/>
          <w:szCs w:val="20"/>
          <w:lang w:eastAsia="es-CR"/>
        </w:rPr>
      </w:pPr>
      <w:r w:rsidRPr="00FE3802">
        <w:rPr>
          <w:rFonts w:ascii="Arial" w:eastAsia="Calibri" w:hAnsi="Arial" w:cs="Arial"/>
          <w:b/>
          <w:bCs/>
          <w:i/>
          <w:sz w:val="20"/>
          <w:szCs w:val="20"/>
          <w:lang w:eastAsia="es-CR"/>
        </w:rPr>
        <w:t>“Artículo 27</w:t>
      </w:r>
      <w:r w:rsidRPr="00FE3802">
        <w:rPr>
          <w:rFonts w:ascii="Arial" w:eastAsia="Calibri" w:hAnsi="Arial" w:cs="Arial"/>
          <w:i/>
          <w:sz w:val="20"/>
          <w:szCs w:val="20"/>
          <w:lang w:eastAsia="es-CR"/>
        </w:rPr>
        <w:t xml:space="preserve">. </w:t>
      </w:r>
      <w:r w:rsidRPr="00FE3802">
        <w:rPr>
          <w:rFonts w:ascii="Arial" w:eastAsia="Calibri" w:hAnsi="Arial" w:cs="Arial"/>
          <w:b/>
          <w:bCs/>
          <w:i/>
          <w:sz w:val="20"/>
          <w:szCs w:val="20"/>
          <w:lang w:eastAsia="es-CR"/>
        </w:rPr>
        <w:t>Inventario de mobiliario y equipo de oficina</w:t>
      </w:r>
      <w:r w:rsidRPr="00FE3802">
        <w:rPr>
          <w:rFonts w:ascii="Arial" w:eastAsia="Calibri" w:hAnsi="Arial" w:cs="Arial"/>
          <w:i/>
          <w:sz w:val="20"/>
          <w:szCs w:val="20"/>
          <w:lang w:eastAsia="es-CR"/>
        </w:rPr>
        <w:t>. Será responsabilidad del Departamento de Proveeduría (al menos una vez al año) coordinar y supervisar la correcta ejecución del inventario institucional con todas sus etapas (</w:t>
      </w:r>
      <w:r w:rsidR="001976C8" w:rsidRPr="00FE3802">
        <w:rPr>
          <w:rFonts w:ascii="Arial" w:eastAsia="Calibri" w:hAnsi="Arial" w:cs="Arial"/>
          <w:i/>
          <w:sz w:val="20"/>
          <w:szCs w:val="20"/>
          <w:lang w:eastAsia="es-CR"/>
        </w:rPr>
        <w:t>preinventario</w:t>
      </w:r>
      <w:r w:rsidRPr="00FE3802">
        <w:rPr>
          <w:rFonts w:ascii="Arial" w:eastAsia="Calibri" w:hAnsi="Arial" w:cs="Arial"/>
          <w:i/>
          <w:sz w:val="20"/>
          <w:szCs w:val="20"/>
          <w:lang w:eastAsia="es-CR"/>
        </w:rPr>
        <w:t>, inventario y pos</w:t>
      </w:r>
      <w:r w:rsidR="00B01245" w:rsidRPr="00FE3802">
        <w:rPr>
          <w:rFonts w:ascii="Arial" w:eastAsia="Calibri" w:hAnsi="Arial" w:cs="Arial"/>
          <w:i/>
          <w:sz w:val="20"/>
          <w:szCs w:val="20"/>
          <w:lang w:eastAsia="es-CR"/>
        </w:rPr>
        <w:t>t</w:t>
      </w:r>
      <w:r w:rsidRPr="00FE3802">
        <w:rPr>
          <w:rFonts w:ascii="Arial" w:eastAsia="Calibri" w:hAnsi="Arial" w:cs="Arial"/>
          <w:i/>
          <w:sz w:val="20"/>
          <w:szCs w:val="20"/>
          <w:lang w:eastAsia="es-CR"/>
        </w:rPr>
        <w:t xml:space="preserve"> inventario), por medio de las administraciones regionales,</w:t>
      </w:r>
      <w:r w:rsidRPr="00FE3802">
        <w:rPr>
          <w:rFonts w:ascii="Arial" w:eastAsia="Calibri" w:hAnsi="Arial" w:cs="Arial"/>
          <w:b/>
          <w:bCs/>
          <w:i/>
          <w:sz w:val="20"/>
          <w:szCs w:val="20"/>
          <w:lang w:eastAsia="es-CR"/>
        </w:rPr>
        <w:t xml:space="preserve"> </w:t>
      </w:r>
      <w:r w:rsidRPr="00FE3802">
        <w:rPr>
          <w:rFonts w:ascii="Arial" w:eastAsia="Calibri" w:hAnsi="Arial" w:cs="Arial"/>
          <w:i/>
          <w:sz w:val="20"/>
          <w:szCs w:val="20"/>
          <w:lang w:eastAsia="es-CR"/>
        </w:rPr>
        <w:t>del levantamiento físico de activos de todas las dependencias del Poder Judicial. Para tal efecto se utilizarán las funcionalidades del sistema SICA-PJ, mediante el cual las Administraciones Regionales y por programa podrán emitir un listado del mobiliario y equipo asignado a cada una de las dependencias judiciales a su cargo. Este será utilizado para realizar la toma física de activos ubicados en cada una de las dependencias y su resultado será registrado en el SICA-PJ para efectos de analizar el cumplimiento de las disposiciones de este Reglamento por parte de las dependencias judiciales”</w:t>
      </w:r>
      <w:r w:rsidR="006954A8" w:rsidRPr="00FE3802">
        <w:rPr>
          <w:rFonts w:ascii="Arial" w:eastAsia="Calibri" w:hAnsi="Arial" w:cs="Arial"/>
          <w:i/>
          <w:sz w:val="20"/>
          <w:szCs w:val="20"/>
          <w:lang w:eastAsia="es-CR"/>
        </w:rPr>
        <w:t>.</w:t>
      </w:r>
    </w:p>
    <w:p w14:paraId="33ED6357" w14:textId="77777777" w:rsidR="00244F5F" w:rsidRPr="00FE3802" w:rsidRDefault="00244F5F" w:rsidP="00244F5F">
      <w:pPr>
        <w:jc w:val="both"/>
        <w:rPr>
          <w:rFonts w:ascii="Arial" w:hAnsi="Arial" w:cs="Arial"/>
          <w:sz w:val="20"/>
          <w:szCs w:val="20"/>
        </w:rPr>
      </w:pPr>
    </w:p>
    <w:p w14:paraId="55A77804" w14:textId="6A6355C9" w:rsidR="00244F5F" w:rsidRPr="00240CFF" w:rsidRDefault="006A1861" w:rsidP="00896D1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Atentamente</w:t>
      </w:r>
      <w:r w:rsidR="0088765B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s</w:t>
      </w:r>
      <w:r w:rsidR="00244F5F" w:rsidRPr="00240CFF">
        <w:rPr>
          <w:rFonts w:ascii="Arial" w:hAnsi="Arial" w:cs="Arial"/>
          <w:sz w:val="22"/>
          <w:szCs w:val="22"/>
        </w:rPr>
        <w:t xml:space="preserve">e convoca a todas las oficinas </w:t>
      </w:r>
      <w:r w:rsidR="00244F5F">
        <w:rPr>
          <w:rFonts w:ascii="Arial" w:hAnsi="Arial" w:cs="Arial"/>
          <w:sz w:val="22"/>
          <w:szCs w:val="22"/>
        </w:rPr>
        <w:t>j</w:t>
      </w:r>
      <w:r w:rsidR="00244F5F" w:rsidRPr="00240CFF">
        <w:rPr>
          <w:rFonts w:ascii="Arial" w:hAnsi="Arial" w:cs="Arial"/>
          <w:sz w:val="22"/>
          <w:szCs w:val="22"/>
        </w:rPr>
        <w:t>udiciales del país para dar inicio al proceso de inventario de activos fijos</w:t>
      </w:r>
      <w:r w:rsidR="00B841B4">
        <w:rPr>
          <w:rFonts w:ascii="Arial" w:hAnsi="Arial" w:cs="Arial"/>
          <w:sz w:val="22"/>
          <w:szCs w:val="22"/>
        </w:rPr>
        <w:t xml:space="preserve"> correspondiente al periodo 2024</w:t>
      </w:r>
      <w:r w:rsidR="00A8030F">
        <w:rPr>
          <w:rFonts w:ascii="Arial" w:hAnsi="Arial" w:cs="Arial"/>
          <w:sz w:val="22"/>
          <w:szCs w:val="22"/>
        </w:rPr>
        <w:t>,</w:t>
      </w:r>
      <w:r w:rsidR="00244F5F" w:rsidRPr="00240CFF">
        <w:rPr>
          <w:rFonts w:ascii="Arial" w:hAnsi="Arial" w:cs="Arial"/>
          <w:sz w:val="22"/>
          <w:szCs w:val="22"/>
        </w:rPr>
        <w:t xml:space="preserve"> según cronograma de trabajo adjunto</w:t>
      </w:r>
      <w:r w:rsidR="00896D15">
        <w:rPr>
          <w:rFonts w:ascii="Arial" w:hAnsi="Arial" w:cs="Arial"/>
          <w:sz w:val="22"/>
          <w:szCs w:val="22"/>
        </w:rPr>
        <w:t xml:space="preserve">, </w:t>
      </w:r>
      <w:r w:rsidR="00D7756E">
        <w:rPr>
          <w:rFonts w:ascii="Arial" w:hAnsi="Arial" w:cs="Arial"/>
          <w:sz w:val="22"/>
          <w:szCs w:val="22"/>
        </w:rPr>
        <w:t xml:space="preserve">en </w:t>
      </w:r>
      <w:r w:rsidR="00896D15">
        <w:rPr>
          <w:rFonts w:ascii="Arial" w:hAnsi="Arial" w:cs="Arial"/>
          <w:sz w:val="22"/>
          <w:szCs w:val="22"/>
        </w:rPr>
        <w:t xml:space="preserve">el cual, </w:t>
      </w:r>
      <w:r w:rsidR="00244F5F" w:rsidRPr="00240CFF">
        <w:rPr>
          <w:rFonts w:ascii="Arial" w:hAnsi="Arial" w:cs="Arial"/>
          <w:sz w:val="22"/>
          <w:szCs w:val="22"/>
        </w:rPr>
        <w:t xml:space="preserve">se agrupan las distintas oficinas por </w:t>
      </w:r>
      <w:bookmarkStart w:id="0" w:name="_Hlk38885885"/>
      <w:r w:rsidR="00244F5F" w:rsidRPr="00240CFF">
        <w:rPr>
          <w:rFonts w:ascii="Arial" w:hAnsi="Arial" w:cs="Arial"/>
          <w:sz w:val="22"/>
          <w:szCs w:val="22"/>
        </w:rPr>
        <w:t xml:space="preserve">Administraciones Regionales, Administraciones Auxiliares de Justicia, o bien, </w:t>
      </w:r>
      <w:bookmarkEnd w:id="0"/>
      <w:r w:rsidR="00244F5F">
        <w:rPr>
          <w:rFonts w:ascii="Arial" w:hAnsi="Arial" w:cs="Arial"/>
          <w:sz w:val="22"/>
          <w:szCs w:val="22"/>
        </w:rPr>
        <w:t>oficinas Administrativas.</w:t>
      </w:r>
    </w:p>
    <w:p w14:paraId="14B408F9" w14:textId="77777777" w:rsidR="00244F5F" w:rsidRPr="00240CFF" w:rsidRDefault="00244F5F" w:rsidP="00244F5F">
      <w:pPr>
        <w:jc w:val="both"/>
        <w:rPr>
          <w:rFonts w:ascii="Arial" w:hAnsi="Arial" w:cs="Arial"/>
          <w:sz w:val="22"/>
          <w:szCs w:val="22"/>
        </w:rPr>
      </w:pPr>
    </w:p>
    <w:p w14:paraId="0EB69B31" w14:textId="524867E0" w:rsidR="003D3608" w:rsidRDefault="001453CE" w:rsidP="00244F5F">
      <w:pPr>
        <w:jc w:val="both"/>
        <w:rPr>
          <w:rFonts w:ascii="Arial" w:hAnsi="Arial" w:cs="Arial"/>
          <w:sz w:val="22"/>
          <w:szCs w:val="22"/>
        </w:rPr>
      </w:pPr>
      <w:r w:rsidRPr="001453CE">
        <w:rPr>
          <w:rFonts w:ascii="Arial" w:hAnsi="Arial" w:cs="Arial"/>
          <w:sz w:val="22"/>
          <w:szCs w:val="22"/>
        </w:rPr>
        <w:t xml:space="preserve">A partir de la emisión de la presente circular, se </w:t>
      </w:r>
      <w:r w:rsidR="00A9587F">
        <w:rPr>
          <w:rFonts w:ascii="Arial" w:hAnsi="Arial" w:cs="Arial"/>
          <w:sz w:val="22"/>
          <w:szCs w:val="22"/>
        </w:rPr>
        <w:t>hace oficial</w:t>
      </w:r>
      <w:r w:rsidRPr="001453CE">
        <w:rPr>
          <w:rFonts w:ascii="Arial" w:hAnsi="Arial" w:cs="Arial"/>
          <w:sz w:val="22"/>
          <w:szCs w:val="22"/>
        </w:rPr>
        <w:t xml:space="preserve"> el proceso de inventario para el año 2024</w:t>
      </w:r>
      <w:r w:rsidR="00894AD8">
        <w:rPr>
          <w:rFonts w:ascii="Arial" w:hAnsi="Arial" w:cs="Arial"/>
          <w:sz w:val="22"/>
          <w:szCs w:val="22"/>
        </w:rPr>
        <w:t>,</w:t>
      </w:r>
      <w:r w:rsidRPr="001453CE">
        <w:rPr>
          <w:rFonts w:ascii="Arial" w:hAnsi="Arial" w:cs="Arial"/>
          <w:sz w:val="22"/>
          <w:szCs w:val="22"/>
        </w:rPr>
        <w:t xml:space="preserve"> </w:t>
      </w:r>
      <w:r w:rsidR="00EF0C82">
        <w:rPr>
          <w:rFonts w:ascii="Arial" w:hAnsi="Arial" w:cs="Arial"/>
          <w:sz w:val="22"/>
          <w:szCs w:val="22"/>
        </w:rPr>
        <w:t>p</w:t>
      </w:r>
      <w:r w:rsidRPr="001453CE">
        <w:rPr>
          <w:rFonts w:ascii="Arial" w:hAnsi="Arial" w:cs="Arial"/>
          <w:sz w:val="22"/>
          <w:szCs w:val="22"/>
        </w:rPr>
        <w:t xml:space="preserve">or consiguiente, </w:t>
      </w:r>
      <w:r w:rsidR="001C2A7A">
        <w:rPr>
          <w:rFonts w:ascii="Arial" w:hAnsi="Arial" w:cs="Arial"/>
          <w:sz w:val="22"/>
          <w:szCs w:val="22"/>
        </w:rPr>
        <w:t xml:space="preserve">se </w:t>
      </w:r>
      <w:r w:rsidR="007C15FA">
        <w:rPr>
          <w:rFonts w:ascii="Arial" w:hAnsi="Arial" w:cs="Arial"/>
          <w:sz w:val="22"/>
          <w:szCs w:val="22"/>
        </w:rPr>
        <w:t>recomienda</w:t>
      </w:r>
      <w:r w:rsidR="00280AC2">
        <w:rPr>
          <w:rFonts w:ascii="Arial" w:hAnsi="Arial" w:cs="Arial"/>
          <w:sz w:val="22"/>
          <w:szCs w:val="22"/>
        </w:rPr>
        <w:t xml:space="preserve"> </w:t>
      </w:r>
      <w:r w:rsidR="00A90C96">
        <w:rPr>
          <w:rFonts w:ascii="Arial" w:hAnsi="Arial" w:cs="Arial"/>
          <w:sz w:val="22"/>
          <w:szCs w:val="22"/>
        </w:rPr>
        <w:t>iniciar</w:t>
      </w:r>
      <w:r w:rsidR="00EF0C82">
        <w:rPr>
          <w:rFonts w:ascii="Arial" w:hAnsi="Arial" w:cs="Arial"/>
          <w:sz w:val="22"/>
          <w:szCs w:val="22"/>
        </w:rPr>
        <w:t xml:space="preserve"> </w:t>
      </w:r>
      <w:r w:rsidRPr="001453CE">
        <w:rPr>
          <w:rFonts w:ascii="Arial" w:hAnsi="Arial" w:cs="Arial"/>
          <w:sz w:val="22"/>
          <w:szCs w:val="22"/>
        </w:rPr>
        <w:t xml:space="preserve">las labores de preinventario </w:t>
      </w:r>
      <w:r w:rsidR="004D0AA9">
        <w:rPr>
          <w:rFonts w:ascii="Arial" w:hAnsi="Arial" w:cs="Arial"/>
          <w:sz w:val="22"/>
          <w:szCs w:val="22"/>
        </w:rPr>
        <w:t>de acuerdo con el</w:t>
      </w:r>
      <w:r w:rsidRPr="001453CE">
        <w:rPr>
          <w:rFonts w:ascii="Arial" w:hAnsi="Arial" w:cs="Arial"/>
          <w:sz w:val="22"/>
          <w:szCs w:val="22"/>
        </w:rPr>
        <w:t xml:space="preserve"> plan de actividades</w:t>
      </w:r>
      <w:r w:rsidR="004D0AA9">
        <w:rPr>
          <w:rFonts w:ascii="Arial" w:hAnsi="Arial" w:cs="Arial"/>
          <w:sz w:val="22"/>
          <w:szCs w:val="22"/>
        </w:rPr>
        <w:t>.</w:t>
      </w:r>
    </w:p>
    <w:p w14:paraId="28236635" w14:textId="77777777" w:rsidR="001453CE" w:rsidRDefault="001453CE" w:rsidP="00244F5F">
      <w:pPr>
        <w:jc w:val="both"/>
        <w:rPr>
          <w:rFonts w:ascii="Arial" w:hAnsi="Arial" w:cs="Arial"/>
          <w:sz w:val="22"/>
          <w:szCs w:val="22"/>
        </w:rPr>
      </w:pPr>
    </w:p>
    <w:p w14:paraId="59C8F1ED" w14:textId="284329A3" w:rsidR="00244F5F" w:rsidRPr="00240CFF" w:rsidRDefault="00244F5F" w:rsidP="00244F5F">
      <w:pPr>
        <w:jc w:val="both"/>
        <w:rPr>
          <w:rFonts w:ascii="Arial" w:hAnsi="Arial" w:cs="Arial"/>
          <w:sz w:val="22"/>
          <w:szCs w:val="22"/>
        </w:rPr>
      </w:pPr>
      <w:r w:rsidRPr="00240CFF">
        <w:rPr>
          <w:rFonts w:ascii="Arial" w:hAnsi="Arial" w:cs="Arial"/>
          <w:sz w:val="22"/>
          <w:szCs w:val="22"/>
        </w:rPr>
        <w:t xml:space="preserve">El Departamento de Proveeduría </w:t>
      </w:r>
      <w:r w:rsidR="00CC12FD">
        <w:rPr>
          <w:rFonts w:ascii="Arial" w:hAnsi="Arial" w:cs="Arial"/>
          <w:sz w:val="22"/>
          <w:szCs w:val="22"/>
        </w:rPr>
        <w:t>verificará que</w:t>
      </w:r>
      <w:r w:rsidRPr="00240CFF">
        <w:rPr>
          <w:rFonts w:ascii="Arial" w:hAnsi="Arial" w:cs="Arial"/>
          <w:sz w:val="22"/>
          <w:szCs w:val="22"/>
        </w:rPr>
        <w:t xml:space="preserve"> cada Administración Regional, Administración Auxiliar de Justicia </w:t>
      </w:r>
      <w:r>
        <w:rPr>
          <w:rFonts w:ascii="Arial" w:hAnsi="Arial" w:cs="Arial"/>
          <w:sz w:val="22"/>
          <w:szCs w:val="22"/>
        </w:rPr>
        <w:t>y oficina administrativa</w:t>
      </w:r>
      <w:r w:rsidRPr="00240CFF">
        <w:rPr>
          <w:rFonts w:ascii="Arial" w:hAnsi="Arial" w:cs="Arial"/>
          <w:sz w:val="22"/>
          <w:szCs w:val="22"/>
        </w:rPr>
        <w:t>, realice las labores de preinventario, inventario y pos</w:t>
      </w:r>
      <w:r w:rsidR="009E2B1D">
        <w:rPr>
          <w:rFonts w:ascii="Arial" w:hAnsi="Arial" w:cs="Arial"/>
          <w:sz w:val="22"/>
          <w:szCs w:val="22"/>
        </w:rPr>
        <w:t xml:space="preserve">t </w:t>
      </w:r>
      <w:r w:rsidRPr="00240CFF">
        <w:rPr>
          <w:rFonts w:ascii="Arial" w:hAnsi="Arial" w:cs="Arial"/>
          <w:sz w:val="22"/>
          <w:szCs w:val="22"/>
        </w:rPr>
        <w:t>inventario</w:t>
      </w:r>
      <w:r w:rsidR="00A03EAD">
        <w:rPr>
          <w:rFonts w:ascii="Arial" w:hAnsi="Arial" w:cs="Arial"/>
          <w:sz w:val="22"/>
          <w:szCs w:val="22"/>
        </w:rPr>
        <w:t>,</w:t>
      </w:r>
      <w:r w:rsidR="00B265FF">
        <w:rPr>
          <w:rFonts w:ascii="Arial" w:hAnsi="Arial" w:cs="Arial"/>
          <w:sz w:val="22"/>
          <w:szCs w:val="22"/>
        </w:rPr>
        <w:t xml:space="preserve"> </w:t>
      </w:r>
      <w:r w:rsidR="00831854">
        <w:rPr>
          <w:rFonts w:ascii="Arial" w:hAnsi="Arial" w:cs="Arial"/>
          <w:sz w:val="22"/>
          <w:szCs w:val="22"/>
        </w:rPr>
        <w:t>brindando</w:t>
      </w:r>
      <w:r w:rsidR="00B265FF">
        <w:rPr>
          <w:rFonts w:ascii="Arial" w:hAnsi="Arial" w:cs="Arial"/>
          <w:sz w:val="22"/>
          <w:szCs w:val="22"/>
        </w:rPr>
        <w:t xml:space="preserve"> </w:t>
      </w:r>
      <w:r w:rsidR="00B265FF" w:rsidRPr="00B265FF">
        <w:rPr>
          <w:rFonts w:ascii="Arial" w:hAnsi="Arial" w:cs="Arial"/>
          <w:sz w:val="22"/>
          <w:szCs w:val="22"/>
        </w:rPr>
        <w:t>el apoyo necesario para concluir con éxito estas labores</w:t>
      </w:r>
      <w:r w:rsidR="00B426AB">
        <w:rPr>
          <w:rFonts w:ascii="Arial" w:hAnsi="Arial" w:cs="Arial"/>
          <w:sz w:val="22"/>
          <w:szCs w:val="22"/>
        </w:rPr>
        <w:t>,</w:t>
      </w:r>
      <w:r w:rsidRPr="00240CFF">
        <w:rPr>
          <w:rFonts w:ascii="Arial" w:hAnsi="Arial" w:cs="Arial"/>
          <w:sz w:val="22"/>
          <w:szCs w:val="22"/>
        </w:rPr>
        <w:t xml:space="preserve"> en </w:t>
      </w:r>
      <w:r w:rsidR="00394978">
        <w:rPr>
          <w:rFonts w:ascii="Arial" w:hAnsi="Arial" w:cs="Arial"/>
          <w:sz w:val="22"/>
          <w:szCs w:val="22"/>
        </w:rPr>
        <w:t xml:space="preserve">estricto </w:t>
      </w:r>
      <w:r w:rsidRPr="00240CFF">
        <w:rPr>
          <w:rFonts w:ascii="Arial" w:hAnsi="Arial" w:cs="Arial"/>
          <w:sz w:val="22"/>
          <w:szCs w:val="22"/>
        </w:rPr>
        <w:t xml:space="preserve">apego </w:t>
      </w:r>
      <w:r w:rsidR="0051659D">
        <w:rPr>
          <w:rFonts w:ascii="Arial" w:hAnsi="Arial" w:cs="Arial"/>
          <w:sz w:val="22"/>
          <w:szCs w:val="22"/>
        </w:rPr>
        <w:t>a</w:t>
      </w:r>
      <w:r w:rsidRPr="00240CFF">
        <w:rPr>
          <w:rFonts w:ascii="Arial" w:hAnsi="Arial" w:cs="Arial"/>
          <w:sz w:val="22"/>
          <w:szCs w:val="22"/>
        </w:rPr>
        <w:t>l Reglamento para el Registro, Control y uso de activos institucionales del Poder Judicial</w:t>
      </w:r>
      <w:r w:rsidR="00CC12FD">
        <w:rPr>
          <w:rFonts w:ascii="Arial" w:hAnsi="Arial" w:cs="Arial"/>
          <w:sz w:val="22"/>
          <w:szCs w:val="22"/>
        </w:rPr>
        <w:t>.</w:t>
      </w:r>
    </w:p>
    <w:p w14:paraId="5517B3BA" w14:textId="54579810" w:rsidR="00244F5F" w:rsidRDefault="00244F5F" w:rsidP="004D3328">
      <w:pPr>
        <w:jc w:val="both"/>
        <w:rPr>
          <w:rFonts w:ascii="Arial" w:hAnsi="Arial" w:cs="Arial"/>
          <w:sz w:val="22"/>
          <w:szCs w:val="22"/>
        </w:rPr>
      </w:pPr>
      <w:r w:rsidRPr="00240CFF">
        <w:rPr>
          <w:rFonts w:ascii="Arial" w:hAnsi="Arial" w:cs="Arial"/>
          <w:sz w:val="22"/>
          <w:szCs w:val="22"/>
        </w:rPr>
        <w:t xml:space="preserve"> </w:t>
      </w:r>
    </w:p>
    <w:p w14:paraId="42E1E9F6" w14:textId="10AD1DB7" w:rsidR="0074215A" w:rsidRDefault="00465D11" w:rsidP="004D332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Por lo anterior, </w:t>
      </w:r>
      <w:r w:rsidR="0074215A" w:rsidRPr="00240CFF">
        <w:rPr>
          <w:rFonts w:ascii="Arial" w:hAnsi="Arial" w:cs="Arial"/>
          <w:sz w:val="22"/>
          <w:szCs w:val="22"/>
        </w:rPr>
        <w:t>se solicita la colaboración de</w:t>
      </w:r>
      <w:r w:rsidR="005B41AA">
        <w:rPr>
          <w:rFonts w:ascii="Arial" w:hAnsi="Arial" w:cs="Arial"/>
          <w:sz w:val="22"/>
          <w:szCs w:val="22"/>
        </w:rPr>
        <w:t xml:space="preserve"> todos los servidores judiciales </w:t>
      </w:r>
      <w:r w:rsidR="0074215A" w:rsidRPr="00240CFF">
        <w:rPr>
          <w:rFonts w:ascii="Arial" w:hAnsi="Arial" w:cs="Arial"/>
          <w:sz w:val="22"/>
          <w:szCs w:val="22"/>
        </w:rPr>
        <w:t>para atender a las personas encargadas y facilitarles la labor de inventario en las oficinas, con la finalidad de realizar dicho proceso de manera fluida y obtener la información certera para su registro en el Sistema Institucional de Control de Activos del Poder Judicial (SICA-PJ), recordando que los datos que se ingresan al sistema son necesarios para la adecuada generación de la contabilidad institucional</w:t>
      </w:r>
      <w:r>
        <w:rPr>
          <w:rFonts w:ascii="Arial" w:hAnsi="Arial" w:cs="Arial"/>
          <w:sz w:val="22"/>
          <w:szCs w:val="22"/>
        </w:rPr>
        <w:t xml:space="preserve"> y acatamiento de normativa institucional.</w:t>
      </w:r>
    </w:p>
    <w:p w14:paraId="724B23CF" w14:textId="77777777" w:rsidR="00032D66" w:rsidRDefault="00032D66" w:rsidP="004D3328">
      <w:pPr>
        <w:jc w:val="both"/>
        <w:rPr>
          <w:rFonts w:ascii="Arial" w:hAnsi="Arial" w:cs="Arial"/>
          <w:sz w:val="22"/>
          <w:szCs w:val="22"/>
        </w:rPr>
      </w:pPr>
    </w:p>
    <w:p w14:paraId="42E1E9F8" w14:textId="464B6128" w:rsidR="005E23A5" w:rsidRPr="00240CFF" w:rsidRDefault="00B265FF" w:rsidP="004D332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Para este periodo la capacitación se brindará </w:t>
      </w:r>
      <w:r w:rsidR="0082079C">
        <w:rPr>
          <w:rFonts w:ascii="Arial" w:hAnsi="Arial" w:cs="Arial"/>
          <w:sz w:val="22"/>
          <w:szCs w:val="22"/>
        </w:rPr>
        <w:t xml:space="preserve">a través </w:t>
      </w:r>
      <w:r w:rsidR="00C07FAE">
        <w:rPr>
          <w:rFonts w:ascii="Arial" w:hAnsi="Arial" w:cs="Arial"/>
          <w:sz w:val="22"/>
          <w:szCs w:val="22"/>
        </w:rPr>
        <w:t>de la plataforma Teams, explicando los conceptos</w:t>
      </w:r>
      <w:r w:rsidR="002A1A2A">
        <w:rPr>
          <w:rFonts w:ascii="Arial" w:hAnsi="Arial" w:cs="Arial"/>
          <w:sz w:val="22"/>
          <w:szCs w:val="22"/>
        </w:rPr>
        <w:t xml:space="preserve"> básicos</w:t>
      </w:r>
      <w:r w:rsidR="002F6A4B">
        <w:rPr>
          <w:rFonts w:ascii="Arial" w:hAnsi="Arial" w:cs="Arial"/>
          <w:sz w:val="22"/>
          <w:szCs w:val="22"/>
        </w:rPr>
        <w:t>, funcionalidades y normativa</w:t>
      </w:r>
      <w:r w:rsidR="00C07FAE">
        <w:rPr>
          <w:rFonts w:ascii="Arial" w:hAnsi="Arial" w:cs="Arial"/>
          <w:sz w:val="22"/>
          <w:szCs w:val="22"/>
        </w:rPr>
        <w:t xml:space="preserve"> para el desarrollo del inventario</w:t>
      </w:r>
      <w:r w:rsidR="007E063B">
        <w:rPr>
          <w:rFonts w:ascii="Arial" w:hAnsi="Arial" w:cs="Arial"/>
          <w:sz w:val="22"/>
          <w:szCs w:val="22"/>
        </w:rPr>
        <w:t>,</w:t>
      </w:r>
      <w:r w:rsidR="00C07FAE">
        <w:rPr>
          <w:rFonts w:ascii="Arial" w:hAnsi="Arial" w:cs="Arial"/>
          <w:sz w:val="22"/>
          <w:szCs w:val="22"/>
        </w:rPr>
        <w:t xml:space="preserve"> </w:t>
      </w:r>
      <w:r w:rsidR="00430CAE">
        <w:rPr>
          <w:rFonts w:ascii="Arial" w:hAnsi="Arial" w:cs="Arial"/>
          <w:sz w:val="22"/>
          <w:szCs w:val="22"/>
        </w:rPr>
        <w:t>para lo cual</w:t>
      </w:r>
      <w:r w:rsidR="007E063B">
        <w:rPr>
          <w:rFonts w:ascii="Arial" w:hAnsi="Arial" w:cs="Arial"/>
          <w:sz w:val="22"/>
          <w:szCs w:val="22"/>
        </w:rPr>
        <w:t>,</w:t>
      </w:r>
      <w:r w:rsidR="00430CAE">
        <w:rPr>
          <w:rFonts w:ascii="Arial" w:hAnsi="Arial" w:cs="Arial"/>
          <w:sz w:val="22"/>
          <w:szCs w:val="22"/>
        </w:rPr>
        <w:t xml:space="preserve"> las oficinas deberán remitir </w:t>
      </w:r>
      <w:r w:rsidR="007E063B">
        <w:rPr>
          <w:rFonts w:ascii="Arial" w:hAnsi="Arial" w:cs="Arial"/>
          <w:sz w:val="22"/>
          <w:szCs w:val="22"/>
        </w:rPr>
        <w:t xml:space="preserve">a la cuenta de correo electrónico </w:t>
      </w:r>
      <w:hyperlink r:id="rId8" w:history="1">
        <w:r w:rsidR="007E063B" w:rsidRPr="00D10FF0">
          <w:rPr>
            <w:rStyle w:val="Hipervnculo"/>
            <w:rFonts w:ascii="Arial" w:hAnsi="Arial" w:cs="Arial"/>
            <w:sz w:val="22"/>
            <w:szCs w:val="22"/>
          </w:rPr>
          <w:t>grodriguezn@poder-judicial.go.cr</w:t>
        </w:r>
      </w:hyperlink>
      <w:r w:rsidR="007E063B" w:rsidRPr="00240CFF">
        <w:rPr>
          <w:rFonts w:ascii="Arial" w:hAnsi="Arial" w:cs="Arial"/>
          <w:sz w:val="22"/>
          <w:szCs w:val="22"/>
        </w:rPr>
        <w:t>,</w:t>
      </w:r>
      <w:r w:rsidR="007E063B">
        <w:rPr>
          <w:rFonts w:ascii="Arial" w:hAnsi="Arial" w:cs="Arial"/>
          <w:sz w:val="22"/>
          <w:szCs w:val="22"/>
        </w:rPr>
        <w:t xml:space="preserve"> el nombre de los participantes</w:t>
      </w:r>
      <w:r w:rsidR="00A03EAD">
        <w:rPr>
          <w:rFonts w:ascii="Arial" w:hAnsi="Arial" w:cs="Arial"/>
          <w:sz w:val="22"/>
          <w:szCs w:val="22"/>
        </w:rPr>
        <w:t xml:space="preserve"> a más tardar </w:t>
      </w:r>
      <w:r w:rsidR="00B13F33">
        <w:rPr>
          <w:rFonts w:ascii="Arial" w:hAnsi="Arial" w:cs="Arial"/>
          <w:sz w:val="22"/>
          <w:szCs w:val="22"/>
        </w:rPr>
        <w:t>el 30 de mayo del presente año.</w:t>
      </w:r>
    </w:p>
    <w:p w14:paraId="42E1E9F9" w14:textId="77777777" w:rsidR="00834884" w:rsidRPr="00240CFF" w:rsidRDefault="00834884" w:rsidP="004D3328">
      <w:pPr>
        <w:jc w:val="both"/>
        <w:rPr>
          <w:rFonts w:ascii="Arial" w:hAnsi="Arial" w:cs="Arial"/>
          <w:sz w:val="22"/>
          <w:szCs w:val="22"/>
        </w:rPr>
      </w:pPr>
    </w:p>
    <w:p w14:paraId="42E1E9FA" w14:textId="77777777" w:rsidR="00834884" w:rsidRPr="00240CFF" w:rsidRDefault="00834884" w:rsidP="004D3328">
      <w:pPr>
        <w:jc w:val="both"/>
        <w:rPr>
          <w:rFonts w:ascii="Arial" w:hAnsi="Arial" w:cs="Arial"/>
          <w:sz w:val="22"/>
          <w:szCs w:val="22"/>
        </w:rPr>
      </w:pPr>
      <w:r w:rsidRPr="00240CFF">
        <w:rPr>
          <w:rFonts w:ascii="Arial" w:hAnsi="Arial" w:cs="Arial"/>
          <w:sz w:val="22"/>
          <w:szCs w:val="22"/>
        </w:rPr>
        <w:t xml:space="preserve">Se recuerda que las circulares, instructivos, guías, manuales, normativa y reglamento sobre el registro, control y uso de activos fijos se encuentran anexas en la página Web del Departamento de Proveeduría: </w:t>
      </w:r>
      <w:hyperlink r:id="rId9" w:history="1">
        <w:r w:rsidRPr="00240CFF">
          <w:rPr>
            <w:rStyle w:val="Hipervnculo"/>
            <w:rFonts w:ascii="Arial" w:hAnsi="Arial" w:cs="Arial"/>
            <w:sz w:val="22"/>
            <w:szCs w:val="22"/>
          </w:rPr>
          <w:t>https://proveedu</w:t>
        </w:r>
        <w:r w:rsidRPr="00240CFF">
          <w:rPr>
            <w:rStyle w:val="Hipervnculo"/>
            <w:rFonts w:ascii="Arial" w:hAnsi="Arial" w:cs="Arial"/>
            <w:sz w:val="22"/>
            <w:szCs w:val="22"/>
          </w:rPr>
          <w:t>r</w:t>
        </w:r>
        <w:r w:rsidRPr="00240CFF">
          <w:rPr>
            <w:rStyle w:val="Hipervnculo"/>
            <w:rFonts w:ascii="Arial" w:hAnsi="Arial" w:cs="Arial"/>
            <w:sz w:val="22"/>
            <w:szCs w:val="22"/>
          </w:rPr>
          <w:t>ia.p</w:t>
        </w:r>
        <w:r w:rsidRPr="00240CFF">
          <w:rPr>
            <w:rStyle w:val="Hipervnculo"/>
            <w:rFonts w:ascii="Arial" w:hAnsi="Arial" w:cs="Arial"/>
            <w:sz w:val="22"/>
            <w:szCs w:val="22"/>
          </w:rPr>
          <w:t>o</w:t>
        </w:r>
        <w:r w:rsidRPr="00240CFF">
          <w:rPr>
            <w:rStyle w:val="Hipervnculo"/>
            <w:rFonts w:ascii="Arial" w:hAnsi="Arial" w:cs="Arial"/>
            <w:sz w:val="22"/>
            <w:szCs w:val="22"/>
          </w:rPr>
          <w:t>der-judicial.go.cr/</w:t>
        </w:r>
      </w:hyperlink>
    </w:p>
    <w:p w14:paraId="42E1E9FB" w14:textId="77777777" w:rsidR="007A4B41" w:rsidRPr="00240CFF" w:rsidRDefault="007A4B41" w:rsidP="004D3328">
      <w:pPr>
        <w:jc w:val="both"/>
        <w:rPr>
          <w:rFonts w:ascii="Arial" w:hAnsi="Arial" w:cs="Arial"/>
          <w:sz w:val="22"/>
          <w:szCs w:val="22"/>
        </w:rPr>
      </w:pPr>
    </w:p>
    <w:p w14:paraId="42E1E9FC" w14:textId="752E0645" w:rsidR="007A4B41" w:rsidRPr="00240CFF" w:rsidRDefault="007A4B41" w:rsidP="004D3328">
      <w:pPr>
        <w:jc w:val="both"/>
        <w:rPr>
          <w:rFonts w:ascii="Arial" w:hAnsi="Arial" w:cs="Arial"/>
          <w:sz w:val="22"/>
          <w:szCs w:val="22"/>
        </w:rPr>
      </w:pPr>
      <w:r w:rsidRPr="00240CFF">
        <w:rPr>
          <w:rFonts w:ascii="Arial" w:hAnsi="Arial" w:cs="Arial"/>
          <w:sz w:val="22"/>
          <w:szCs w:val="22"/>
        </w:rPr>
        <w:t xml:space="preserve">Cualquier duda sobre el proceso puede ser evacuada dirigiendo las consultas a la cuenta de correo electrónico: </w:t>
      </w:r>
      <w:hyperlink r:id="rId10" w:history="1">
        <w:r w:rsidR="009954A6" w:rsidRPr="00D10FF0">
          <w:rPr>
            <w:rStyle w:val="Hipervnculo"/>
            <w:rFonts w:ascii="Arial" w:hAnsi="Arial" w:cs="Arial"/>
            <w:sz w:val="22"/>
            <w:szCs w:val="22"/>
          </w:rPr>
          <w:t>grodriguezn@poder-judicial.go.cr</w:t>
        </w:r>
      </w:hyperlink>
      <w:r w:rsidRPr="00240CFF">
        <w:rPr>
          <w:rFonts w:ascii="Arial" w:hAnsi="Arial" w:cs="Arial"/>
          <w:sz w:val="22"/>
          <w:szCs w:val="22"/>
        </w:rPr>
        <w:t xml:space="preserve">, a nombre del servidor </w:t>
      </w:r>
      <w:bookmarkStart w:id="1" w:name="_Hlk74641567"/>
      <w:r w:rsidR="001D35BF">
        <w:rPr>
          <w:rFonts w:ascii="Arial" w:hAnsi="Arial" w:cs="Arial"/>
          <w:sz w:val="22"/>
          <w:szCs w:val="22"/>
        </w:rPr>
        <w:t xml:space="preserve">judicial </w:t>
      </w:r>
      <w:r w:rsidR="009954A6">
        <w:rPr>
          <w:rFonts w:ascii="Arial" w:hAnsi="Arial" w:cs="Arial"/>
          <w:sz w:val="22"/>
          <w:szCs w:val="22"/>
        </w:rPr>
        <w:t>Gerardo Rodríguez Navarro</w:t>
      </w:r>
      <w:bookmarkEnd w:id="1"/>
      <w:r w:rsidRPr="00240CFF">
        <w:rPr>
          <w:rFonts w:ascii="Arial" w:hAnsi="Arial" w:cs="Arial"/>
          <w:sz w:val="22"/>
          <w:szCs w:val="22"/>
        </w:rPr>
        <w:t xml:space="preserve">, </w:t>
      </w:r>
      <w:r w:rsidR="00CF35DF">
        <w:rPr>
          <w:rFonts w:ascii="Arial" w:hAnsi="Arial" w:cs="Arial"/>
          <w:sz w:val="22"/>
          <w:szCs w:val="22"/>
        </w:rPr>
        <w:t>a quién se le puede contactar</w:t>
      </w:r>
      <w:r w:rsidRPr="00240CFF">
        <w:rPr>
          <w:rFonts w:ascii="Arial" w:hAnsi="Arial" w:cs="Arial"/>
          <w:sz w:val="22"/>
          <w:szCs w:val="22"/>
        </w:rPr>
        <w:t xml:space="preserve"> vía Microsoft Teams, o a </w:t>
      </w:r>
      <w:r w:rsidR="00C90D45">
        <w:rPr>
          <w:rFonts w:ascii="Arial" w:hAnsi="Arial" w:cs="Arial"/>
          <w:sz w:val="22"/>
          <w:szCs w:val="22"/>
        </w:rPr>
        <w:t xml:space="preserve">la </w:t>
      </w:r>
      <w:r w:rsidR="00CF35DF">
        <w:rPr>
          <w:rFonts w:ascii="Arial" w:hAnsi="Arial" w:cs="Arial"/>
          <w:sz w:val="22"/>
          <w:szCs w:val="22"/>
        </w:rPr>
        <w:t>extensión telefónica</w:t>
      </w:r>
      <w:r w:rsidRPr="00240CFF">
        <w:rPr>
          <w:rFonts w:ascii="Arial" w:hAnsi="Arial" w:cs="Arial"/>
          <w:sz w:val="22"/>
          <w:szCs w:val="22"/>
        </w:rPr>
        <w:t>: 01-3608</w:t>
      </w:r>
      <w:r w:rsidR="00CF35DF">
        <w:rPr>
          <w:rFonts w:ascii="Arial" w:hAnsi="Arial" w:cs="Arial"/>
          <w:sz w:val="22"/>
          <w:szCs w:val="22"/>
        </w:rPr>
        <w:t>.</w:t>
      </w:r>
    </w:p>
    <w:p w14:paraId="42E1E9FE" w14:textId="7F91F05D" w:rsidR="007A4B41" w:rsidRDefault="007A4B41" w:rsidP="00F6419F">
      <w:pPr>
        <w:pBdr>
          <w:bottom w:val="single" w:sz="6" w:space="1" w:color="auto"/>
        </w:pBdr>
        <w:ind w:right="273"/>
        <w:jc w:val="both"/>
        <w:rPr>
          <w:rFonts w:ascii="Arial" w:hAnsi="Arial" w:cs="Arial"/>
        </w:rPr>
      </w:pPr>
    </w:p>
    <w:p w14:paraId="42E1E9FF" w14:textId="77777777" w:rsidR="0091046C" w:rsidRDefault="0091046C" w:rsidP="00F6419F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Copia:</w:t>
      </w:r>
      <w:r>
        <w:rPr>
          <w:rFonts w:ascii="Arial" w:hAnsi="Arial" w:cs="Arial"/>
          <w:sz w:val="16"/>
          <w:szCs w:val="16"/>
        </w:rPr>
        <w:t xml:space="preserve"> Oficinas Judiciales de todo el país.</w:t>
      </w:r>
    </w:p>
    <w:p w14:paraId="42E1EA00" w14:textId="77777777" w:rsidR="0091046C" w:rsidRDefault="0091046C" w:rsidP="00F6419F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Diligencias:</w:t>
      </w:r>
      <w:r>
        <w:rPr>
          <w:rFonts w:ascii="Arial" w:hAnsi="Arial" w:cs="Arial"/>
          <w:sz w:val="16"/>
          <w:szCs w:val="16"/>
        </w:rPr>
        <w:t xml:space="preserve"> Proceso de Administración de Bienes.</w:t>
      </w:r>
    </w:p>
    <w:p w14:paraId="42E1EA01" w14:textId="1B69BA83" w:rsidR="0091046C" w:rsidRPr="009849AD" w:rsidRDefault="0091046C" w:rsidP="00F6419F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Anexos:</w:t>
      </w:r>
      <w:r>
        <w:rPr>
          <w:rFonts w:ascii="Arial" w:hAnsi="Arial" w:cs="Arial"/>
          <w:sz w:val="16"/>
          <w:szCs w:val="16"/>
        </w:rPr>
        <w:t xml:space="preserve"> </w:t>
      </w:r>
      <w:r w:rsidRPr="00C90D45">
        <w:rPr>
          <w:rFonts w:ascii="Arial" w:hAnsi="Arial" w:cs="Arial"/>
          <w:sz w:val="16"/>
          <w:szCs w:val="16"/>
        </w:rPr>
        <w:t>Cronograma del inventario</w:t>
      </w:r>
      <w:r w:rsidR="00C90D45">
        <w:rPr>
          <w:rFonts w:ascii="Arial" w:hAnsi="Arial" w:cs="Arial"/>
          <w:sz w:val="16"/>
          <w:szCs w:val="16"/>
        </w:rPr>
        <w:t xml:space="preserve"> de activos fijos</w:t>
      </w:r>
      <w:r w:rsidRPr="00C90D45">
        <w:rPr>
          <w:rFonts w:ascii="Arial" w:hAnsi="Arial" w:cs="Arial"/>
          <w:sz w:val="16"/>
          <w:szCs w:val="16"/>
        </w:rPr>
        <w:t xml:space="preserve">, periodo </w:t>
      </w:r>
      <w:r w:rsidR="00A01D62">
        <w:rPr>
          <w:rFonts w:ascii="Arial" w:hAnsi="Arial" w:cs="Arial"/>
          <w:sz w:val="16"/>
          <w:szCs w:val="16"/>
        </w:rPr>
        <w:t>2024</w:t>
      </w:r>
      <w:r w:rsidR="004213C3">
        <w:rPr>
          <w:rFonts w:ascii="Arial" w:hAnsi="Arial" w:cs="Arial"/>
          <w:sz w:val="16"/>
          <w:szCs w:val="16"/>
        </w:rPr>
        <w:t xml:space="preserve"> </w:t>
      </w:r>
      <w:r w:rsidRPr="00C90D45">
        <w:rPr>
          <w:rFonts w:ascii="Arial" w:hAnsi="Arial" w:cs="Arial"/>
          <w:sz w:val="16"/>
          <w:szCs w:val="16"/>
        </w:rPr>
        <w:t>/</w:t>
      </w:r>
      <w:r w:rsidR="004213C3">
        <w:rPr>
          <w:rFonts w:ascii="Arial" w:hAnsi="Arial" w:cs="Arial"/>
          <w:sz w:val="16"/>
          <w:szCs w:val="16"/>
        </w:rPr>
        <w:t xml:space="preserve"> </w:t>
      </w:r>
      <w:r w:rsidR="007E063B">
        <w:rPr>
          <w:rFonts w:ascii="Arial" w:hAnsi="Arial" w:cs="Arial"/>
          <w:sz w:val="16"/>
          <w:szCs w:val="16"/>
        </w:rPr>
        <w:t>Plan de a</w:t>
      </w:r>
      <w:r w:rsidRPr="00C90D45">
        <w:rPr>
          <w:rFonts w:ascii="Arial" w:hAnsi="Arial" w:cs="Arial"/>
          <w:sz w:val="16"/>
          <w:szCs w:val="16"/>
        </w:rPr>
        <w:t>ctividades</w:t>
      </w:r>
      <w:r w:rsidR="00B13F33">
        <w:rPr>
          <w:rFonts w:ascii="Arial" w:hAnsi="Arial" w:cs="Arial"/>
          <w:sz w:val="16"/>
          <w:szCs w:val="16"/>
        </w:rPr>
        <w:t>,</w:t>
      </w:r>
      <w:r w:rsidRPr="00C90D45">
        <w:rPr>
          <w:rFonts w:ascii="Arial" w:hAnsi="Arial" w:cs="Arial"/>
          <w:sz w:val="16"/>
          <w:szCs w:val="16"/>
        </w:rPr>
        <w:t xml:space="preserve"> </w:t>
      </w:r>
      <w:r w:rsidRPr="009849AD">
        <w:rPr>
          <w:rFonts w:ascii="Arial" w:hAnsi="Arial" w:cs="Arial"/>
          <w:sz w:val="16"/>
          <w:szCs w:val="16"/>
        </w:rPr>
        <w:t>Instructivo</w:t>
      </w:r>
      <w:r w:rsidR="008C7D17">
        <w:rPr>
          <w:rFonts w:ascii="Arial" w:hAnsi="Arial" w:cs="Arial"/>
          <w:sz w:val="16"/>
          <w:szCs w:val="16"/>
        </w:rPr>
        <w:t xml:space="preserve"> y Guía</w:t>
      </w:r>
      <w:r w:rsidRPr="009849AD">
        <w:rPr>
          <w:rFonts w:ascii="Arial" w:hAnsi="Arial" w:cs="Arial"/>
          <w:sz w:val="16"/>
          <w:szCs w:val="16"/>
        </w:rPr>
        <w:t xml:space="preserve"> para el levantamiento físico de activos fijos en el Poder Judicial</w:t>
      </w:r>
      <w:r w:rsidR="004213C3">
        <w:rPr>
          <w:rFonts w:ascii="Arial" w:hAnsi="Arial" w:cs="Arial"/>
          <w:sz w:val="16"/>
          <w:szCs w:val="16"/>
        </w:rPr>
        <w:t xml:space="preserve"> / </w:t>
      </w:r>
      <w:r w:rsidR="00B8572B">
        <w:rPr>
          <w:rFonts w:ascii="Arial" w:hAnsi="Arial" w:cs="Arial"/>
          <w:sz w:val="16"/>
          <w:szCs w:val="16"/>
        </w:rPr>
        <w:t>Plantilla para informe de resultados.</w:t>
      </w:r>
    </w:p>
    <w:p w14:paraId="42E1EA02" w14:textId="77777777" w:rsidR="009226BB" w:rsidRDefault="009226BB" w:rsidP="00F6419F">
      <w:pPr>
        <w:jc w:val="both"/>
        <w:rPr>
          <w:rFonts w:ascii="Arial" w:hAnsi="Arial" w:cs="Arial"/>
          <w:sz w:val="16"/>
          <w:szCs w:val="16"/>
        </w:rPr>
      </w:pPr>
    </w:p>
    <w:p w14:paraId="42E1EA03" w14:textId="77777777" w:rsidR="00834884" w:rsidRPr="0074215A" w:rsidRDefault="00834884" w:rsidP="00F6419F">
      <w:pPr>
        <w:ind w:right="273"/>
        <w:jc w:val="both"/>
        <w:rPr>
          <w:rFonts w:ascii="Arial" w:hAnsi="Arial" w:cs="Arial"/>
        </w:rPr>
      </w:pPr>
    </w:p>
    <w:sectPr w:rsidR="00834884" w:rsidRPr="0074215A" w:rsidSect="00123CE2">
      <w:headerReference w:type="default" r:id="rId11"/>
      <w:footerReference w:type="default" r:id="rId12"/>
      <w:pgSz w:w="12242" w:h="15842" w:code="1"/>
      <w:pgMar w:top="1417" w:right="1701" w:bottom="1417" w:left="1701" w:header="720" w:footer="720" w:gutter="0"/>
      <w:cols w:space="708"/>
      <w:noEndnote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68DC30" w14:textId="77777777" w:rsidR="00123CE2" w:rsidRDefault="00123CE2" w:rsidP="00AE0995">
      <w:r>
        <w:separator/>
      </w:r>
    </w:p>
  </w:endnote>
  <w:endnote w:type="continuationSeparator" w:id="0">
    <w:p w14:paraId="2E2F1488" w14:textId="77777777" w:rsidR="00123CE2" w:rsidRDefault="00123CE2" w:rsidP="00AE0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364" w:type="dxa"/>
      <w:jc w:val="center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835"/>
      <w:gridCol w:w="3261"/>
      <w:gridCol w:w="2268"/>
    </w:tblGrid>
    <w:tr w:rsidR="00AE0995" w:rsidRPr="00AE0995" w14:paraId="42E1EA0C" w14:textId="77777777" w:rsidTr="005244A6">
      <w:trPr>
        <w:trHeight w:val="288"/>
        <w:jc w:val="center"/>
      </w:trPr>
      <w:tc>
        <w:tcPr>
          <w:tcW w:w="2835" w:type="dxa"/>
          <w:tcBorders>
            <w:top w:val="single" w:sz="8" w:space="0" w:color="auto"/>
            <w:left w:val="nil"/>
            <w:bottom w:val="nil"/>
            <w:right w:val="nil"/>
          </w:tcBorders>
          <w:shd w:val="clear" w:color="auto" w:fill="auto"/>
          <w:vAlign w:val="center"/>
          <w:hideMark/>
        </w:tcPr>
        <w:p w14:paraId="42E1EA09" w14:textId="77777777" w:rsidR="00AE0995" w:rsidRPr="00AE0995" w:rsidRDefault="00AE0995" w:rsidP="00AE0995">
          <w:pPr>
            <w:ind w:left="284"/>
            <w:rPr>
              <w:rFonts w:ascii="Arial" w:hAnsi="Arial" w:cs="Arial"/>
              <w:b/>
              <w:bCs/>
              <w:color w:val="000000"/>
              <w:sz w:val="18"/>
              <w:szCs w:val="18"/>
              <w:lang w:val="es-CR" w:eastAsia="es-CR"/>
            </w:rPr>
          </w:pPr>
          <w:r w:rsidRPr="00AE0995">
            <w:rPr>
              <w:rFonts w:ascii="Arial" w:hAnsi="Arial" w:cs="Arial"/>
              <w:b/>
              <w:bCs/>
              <w:smallCaps/>
              <w:color w:val="000000"/>
              <w:sz w:val="18"/>
              <w:lang w:eastAsia="es-CR"/>
            </w:rPr>
            <w:t>TELÉFONO</w:t>
          </w:r>
          <w:r w:rsidRPr="00AE0995">
            <w:rPr>
              <w:rFonts w:ascii="Arial" w:hAnsi="Arial" w:cs="Arial"/>
              <w:b/>
              <w:bCs/>
              <w:smallCaps/>
              <w:color w:val="000000"/>
              <w:sz w:val="20"/>
              <w:szCs w:val="20"/>
              <w:lang w:eastAsia="es-CR"/>
            </w:rPr>
            <w:t xml:space="preserve">:  </w:t>
          </w:r>
          <w:r w:rsidRPr="00AE0995">
            <w:rPr>
              <w:rFonts w:ascii="Arial" w:hAnsi="Arial" w:cs="Arial"/>
              <w:b/>
              <w:bCs/>
              <w:i/>
              <w:iCs/>
              <w:smallCaps/>
              <w:color w:val="000000"/>
              <w:sz w:val="20"/>
              <w:szCs w:val="20"/>
              <w:lang w:eastAsia="es-CR"/>
            </w:rPr>
            <w:t>2295-3121</w:t>
          </w:r>
          <w:r w:rsidRPr="00AE0995">
            <w:rPr>
              <w:rFonts w:ascii="Arial" w:hAnsi="Arial" w:cs="Arial"/>
              <w:b/>
              <w:bCs/>
              <w:smallCaps/>
              <w:color w:val="000000"/>
              <w:sz w:val="20"/>
              <w:szCs w:val="20"/>
              <w:lang w:eastAsia="es-CR"/>
            </w:rPr>
            <w:t xml:space="preserve">          </w:t>
          </w:r>
        </w:p>
      </w:tc>
      <w:tc>
        <w:tcPr>
          <w:tcW w:w="3261" w:type="dxa"/>
          <w:tcBorders>
            <w:top w:val="single" w:sz="8" w:space="0" w:color="auto"/>
            <w:left w:val="nil"/>
            <w:bottom w:val="nil"/>
            <w:right w:val="nil"/>
          </w:tcBorders>
          <w:shd w:val="clear" w:color="auto" w:fill="auto"/>
          <w:vAlign w:val="center"/>
          <w:hideMark/>
        </w:tcPr>
        <w:p w14:paraId="42E1EA0A" w14:textId="77777777" w:rsidR="00AE0995" w:rsidRPr="00AE0995" w:rsidRDefault="00000000" w:rsidP="00AE0995">
          <w:pPr>
            <w:rPr>
              <w:rFonts w:ascii="Calibri" w:hAnsi="Calibri"/>
              <w:color w:val="0563C1"/>
              <w:sz w:val="22"/>
              <w:szCs w:val="22"/>
              <w:u w:val="single"/>
              <w:lang w:val="es-CR" w:eastAsia="es-CR"/>
            </w:rPr>
          </w:pPr>
          <w:hyperlink r:id="rId1" w:history="1">
            <w:r w:rsidR="00AE0995" w:rsidRPr="00EE6580">
              <w:rPr>
                <w:rStyle w:val="Hipervnculo"/>
                <w:rFonts w:ascii="Calibri" w:hAnsi="Calibri"/>
                <w:sz w:val="22"/>
                <w:szCs w:val="22"/>
                <w:lang w:val="es-CR" w:eastAsia="es-CR"/>
              </w:rPr>
              <w:t>proveeduria@Poder-Judicial.go.cr</w:t>
            </w:r>
          </w:hyperlink>
        </w:p>
      </w:tc>
      <w:tc>
        <w:tcPr>
          <w:tcW w:w="2268" w:type="dxa"/>
          <w:tcBorders>
            <w:top w:val="single" w:sz="8" w:space="0" w:color="auto"/>
            <w:left w:val="nil"/>
            <w:bottom w:val="nil"/>
            <w:right w:val="nil"/>
          </w:tcBorders>
          <w:shd w:val="clear" w:color="auto" w:fill="auto"/>
          <w:vAlign w:val="center"/>
          <w:hideMark/>
        </w:tcPr>
        <w:p w14:paraId="42E1EA0B" w14:textId="77777777" w:rsidR="00AE0995" w:rsidRPr="00AE0995" w:rsidRDefault="00AE0995" w:rsidP="00AE0995">
          <w:pPr>
            <w:ind w:left="284"/>
            <w:jc w:val="center"/>
            <w:rPr>
              <w:rFonts w:ascii="Arial" w:hAnsi="Arial" w:cs="Arial"/>
              <w:b/>
              <w:bCs/>
              <w:color w:val="000000"/>
              <w:sz w:val="20"/>
              <w:szCs w:val="20"/>
              <w:lang w:val="es-CR" w:eastAsia="es-CR"/>
            </w:rPr>
          </w:pPr>
          <w:r w:rsidRPr="00AE0995">
            <w:rPr>
              <w:rFonts w:ascii="Arial" w:hAnsi="Arial" w:cs="Arial"/>
              <w:b/>
              <w:bCs/>
              <w:color w:val="000000"/>
              <w:sz w:val="20"/>
              <w:szCs w:val="20"/>
              <w:lang w:eastAsia="es-CR"/>
            </w:rPr>
            <w:t xml:space="preserve">FAX: </w:t>
          </w:r>
          <w:r w:rsidRPr="00AE0995">
            <w:rPr>
              <w:rFonts w:ascii="Arial" w:hAnsi="Arial" w:cs="Arial"/>
              <w:b/>
              <w:bCs/>
              <w:i/>
              <w:iCs/>
              <w:color w:val="000000"/>
              <w:sz w:val="20"/>
              <w:szCs w:val="20"/>
              <w:lang w:eastAsia="es-CR"/>
            </w:rPr>
            <w:t>2221-8983</w:t>
          </w:r>
        </w:p>
      </w:tc>
    </w:tr>
  </w:tbl>
  <w:p w14:paraId="42E1EA0D" w14:textId="77777777" w:rsidR="00AE0995" w:rsidRPr="00AE0995" w:rsidRDefault="00AE0995" w:rsidP="00AE0995">
    <w:pPr>
      <w:tabs>
        <w:tab w:val="center" w:pos="4252"/>
        <w:tab w:val="right" w:pos="8504"/>
      </w:tabs>
      <w:suppressAutoHyphens/>
      <w:ind w:left="284" w:right="360"/>
      <w:jc w:val="center"/>
      <w:rPr>
        <w:b/>
        <w:i/>
        <w:lang w:eastAsia="ar-SA"/>
      </w:rPr>
    </w:pPr>
  </w:p>
  <w:p w14:paraId="42E1EA0E" w14:textId="77777777" w:rsidR="00AE0995" w:rsidRPr="00AE0995" w:rsidRDefault="00AE0995" w:rsidP="00AE0995">
    <w:pPr>
      <w:tabs>
        <w:tab w:val="center" w:pos="4252"/>
        <w:tab w:val="right" w:pos="8504"/>
      </w:tabs>
      <w:suppressAutoHyphens/>
      <w:ind w:left="284" w:right="360"/>
      <w:jc w:val="center"/>
      <w:rPr>
        <w:b/>
        <w:i/>
        <w:lang w:eastAsia="ar-SA"/>
      </w:rPr>
    </w:pPr>
    <w:r w:rsidRPr="00AE0995">
      <w:rPr>
        <w:b/>
        <w:i/>
        <w:lang w:eastAsia="ar-SA"/>
      </w:rPr>
      <w:t>“Justicia: Un pilar del desarrollo”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E44B82" w14:textId="77777777" w:rsidR="00123CE2" w:rsidRDefault="00123CE2" w:rsidP="00AE0995">
      <w:r>
        <w:separator/>
      </w:r>
    </w:p>
  </w:footnote>
  <w:footnote w:type="continuationSeparator" w:id="0">
    <w:p w14:paraId="24515094" w14:textId="77777777" w:rsidR="00123CE2" w:rsidRDefault="00123CE2" w:rsidP="00AE09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1EA08" w14:textId="77777777" w:rsidR="00AE0995" w:rsidRDefault="00353BCA" w:rsidP="00AE0995">
    <w:pPr>
      <w:pStyle w:val="Encabezado"/>
      <w:jc w:val="center"/>
    </w:pPr>
    <w:r w:rsidRPr="00AE0995">
      <w:rPr>
        <w:rFonts w:ascii="Arial" w:hAnsi="Arial" w:cs="Arial"/>
        <w:noProof/>
      </w:rPr>
      <w:drawing>
        <wp:inline distT="0" distB="0" distL="0" distR="0" wp14:anchorId="42E1EA0F" wp14:editId="42E1EA10">
          <wp:extent cx="5448300" cy="809625"/>
          <wp:effectExtent l="0" t="0" r="0" b="0"/>
          <wp:docPr id="1" name="Imagen 1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4830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123C9C"/>
    <w:multiLevelType w:val="hybridMultilevel"/>
    <w:tmpl w:val="1E0C2C6E"/>
    <w:lvl w:ilvl="0" w:tplc="FE8289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2C20D4"/>
    <w:multiLevelType w:val="hybridMultilevel"/>
    <w:tmpl w:val="4ACE2BF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648829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60665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381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770"/>
    <w:rsid w:val="0001374E"/>
    <w:rsid w:val="0001560E"/>
    <w:rsid w:val="000249B8"/>
    <w:rsid w:val="00024AB1"/>
    <w:rsid w:val="00026CBF"/>
    <w:rsid w:val="00032D66"/>
    <w:rsid w:val="00042ABA"/>
    <w:rsid w:val="0005217F"/>
    <w:rsid w:val="000571F8"/>
    <w:rsid w:val="00061BBB"/>
    <w:rsid w:val="00070C36"/>
    <w:rsid w:val="000734BC"/>
    <w:rsid w:val="0009102A"/>
    <w:rsid w:val="0009411C"/>
    <w:rsid w:val="000A5FC0"/>
    <w:rsid w:val="000B0092"/>
    <w:rsid w:val="000B30C7"/>
    <w:rsid w:val="000E4A96"/>
    <w:rsid w:val="000F304B"/>
    <w:rsid w:val="000F7059"/>
    <w:rsid w:val="001025F2"/>
    <w:rsid w:val="001057E7"/>
    <w:rsid w:val="0012090A"/>
    <w:rsid w:val="00123CE2"/>
    <w:rsid w:val="001249EF"/>
    <w:rsid w:val="001271FD"/>
    <w:rsid w:val="00133BB9"/>
    <w:rsid w:val="00135CD0"/>
    <w:rsid w:val="0014337C"/>
    <w:rsid w:val="001453CE"/>
    <w:rsid w:val="00147E1F"/>
    <w:rsid w:val="00171E9B"/>
    <w:rsid w:val="00174053"/>
    <w:rsid w:val="00186079"/>
    <w:rsid w:val="001976C8"/>
    <w:rsid w:val="001A2342"/>
    <w:rsid w:val="001C2A7A"/>
    <w:rsid w:val="001C3802"/>
    <w:rsid w:val="001D35BF"/>
    <w:rsid w:val="001E2063"/>
    <w:rsid w:val="001F494D"/>
    <w:rsid w:val="0020288C"/>
    <w:rsid w:val="0022788F"/>
    <w:rsid w:val="0023257D"/>
    <w:rsid w:val="00233E3D"/>
    <w:rsid w:val="00240CFF"/>
    <w:rsid w:val="00244C49"/>
    <w:rsid w:val="00244F5F"/>
    <w:rsid w:val="002658A3"/>
    <w:rsid w:val="00280AC2"/>
    <w:rsid w:val="00294B40"/>
    <w:rsid w:val="002A1A2A"/>
    <w:rsid w:val="002C127F"/>
    <w:rsid w:val="002C1631"/>
    <w:rsid w:val="002C2BDF"/>
    <w:rsid w:val="002C5AF7"/>
    <w:rsid w:val="002C7FD8"/>
    <w:rsid w:val="002E473C"/>
    <w:rsid w:val="002F6A4B"/>
    <w:rsid w:val="00315B54"/>
    <w:rsid w:val="0031632B"/>
    <w:rsid w:val="00323021"/>
    <w:rsid w:val="003374EE"/>
    <w:rsid w:val="003472F4"/>
    <w:rsid w:val="00353BCA"/>
    <w:rsid w:val="003655F2"/>
    <w:rsid w:val="00365E47"/>
    <w:rsid w:val="00383C01"/>
    <w:rsid w:val="00385569"/>
    <w:rsid w:val="00390849"/>
    <w:rsid w:val="00394978"/>
    <w:rsid w:val="003A1CA7"/>
    <w:rsid w:val="003A3106"/>
    <w:rsid w:val="003B1970"/>
    <w:rsid w:val="003C213D"/>
    <w:rsid w:val="003D32B9"/>
    <w:rsid w:val="003D3608"/>
    <w:rsid w:val="004026C7"/>
    <w:rsid w:val="00403388"/>
    <w:rsid w:val="004044C6"/>
    <w:rsid w:val="004107AD"/>
    <w:rsid w:val="00415CA7"/>
    <w:rsid w:val="004213C3"/>
    <w:rsid w:val="00421A8A"/>
    <w:rsid w:val="00421D82"/>
    <w:rsid w:val="0042344B"/>
    <w:rsid w:val="00430CAE"/>
    <w:rsid w:val="00462445"/>
    <w:rsid w:val="00462F8E"/>
    <w:rsid w:val="00465D11"/>
    <w:rsid w:val="00473541"/>
    <w:rsid w:val="004B253E"/>
    <w:rsid w:val="004B3B0C"/>
    <w:rsid w:val="004C77AA"/>
    <w:rsid w:val="004D0AA9"/>
    <w:rsid w:val="004D3328"/>
    <w:rsid w:val="004E36FD"/>
    <w:rsid w:val="0051659D"/>
    <w:rsid w:val="005244A6"/>
    <w:rsid w:val="0052562A"/>
    <w:rsid w:val="005369AE"/>
    <w:rsid w:val="00577A65"/>
    <w:rsid w:val="00577ABB"/>
    <w:rsid w:val="00581770"/>
    <w:rsid w:val="0058316E"/>
    <w:rsid w:val="00584916"/>
    <w:rsid w:val="00590485"/>
    <w:rsid w:val="005A103C"/>
    <w:rsid w:val="005A7D34"/>
    <w:rsid w:val="005B41AA"/>
    <w:rsid w:val="005C38E0"/>
    <w:rsid w:val="005D0AA0"/>
    <w:rsid w:val="005D7091"/>
    <w:rsid w:val="005E23A5"/>
    <w:rsid w:val="0062768E"/>
    <w:rsid w:val="00631342"/>
    <w:rsid w:val="00636953"/>
    <w:rsid w:val="006369CD"/>
    <w:rsid w:val="00641F13"/>
    <w:rsid w:val="006532B9"/>
    <w:rsid w:val="0065538E"/>
    <w:rsid w:val="00665825"/>
    <w:rsid w:val="006671B9"/>
    <w:rsid w:val="00672279"/>
    <w:rsid w:val="0067751F"/>
    <w:rsid w:val="00692A63"/>
    <w:rsid w:val="006954A8"/>
    <w:rsid w:val="006A0449"/>
    <w:rsid w:val="006A1861"/>
    <w:rsid w:val="006B228C"/>
    <w:rsid w:val="006C1223"/>
    <w:rsid w:val="006E4B3F"/>
    <w:rsid w:val="006E657A"/>
    <w:rsid w:val="006F0568"/>
    <w:rsid w:val="006F20E4"/>
    <w:rsid w:val="007125CF"/>
    <w:rsid w:val="0073501A"/>
    <w:rsid w:val="0074215A"/>
    <w:rsid w:val="007621D9"/>
    <w:rsid w:val="0076483C"/>
    <w:rsid w:val="00773086"/>
    <w:rsid w:val="007773F0"/>
    <w:rsid w:val="00795C14"/>
    <w:rsid w:val="007A4B41"/>
    <w:rsid w:val="007B78A1"/>
    <w:rsid w:val="007C15FA"/>
    <w:rsid w:val="007C7030"/>
    <w:rsid w:val="007D0833"/>
    <w:rsid w:val="007D4057"/>
    <w:rsid w:val="007D424A"/>
    <w:rsid w:val="007D59B2"/>
    <w:rsid w:val="007E029A"/>
    <w:rsid w:val="007E063B"/>
    <w:rsid w:val="007E7334"/>
    <w:rsid w:val="00807B90"/>
    <w:rsid w:val="0081497D"/>
    <w:rsid w:val="0082079C"/>
    <w:rsid w:val="008257A9"/>
    <w:rsid w:val="00831854"/>
    <w:rsid w:val="00834884"/>
    <w:rsid w:val="0084694D"/>
    <w:rsid w:val="00865BE5"/>
    <w:rsid w:val="00874C10"/>
    <w:rsid w:val="0088765B"/>
    <w:rsid w:val="00887F60"/>
    <w:rsid w:val="008922A7"/>
    <w:rsid w:val="00894AD8"/>
    <w:rsid w:val="00895E11"/>
    <w:rsid w:val="00896D15"/>
    <w:rsid w:val="008C7D17"/>
    <w:rsid w:val="008E40FC"/>
    <w:rsid w:val="009001E9"/>
    <w:rsid w:val="00905668"/>
    <w:rsid w:val="0091046C"/>
    <w:rsid w:val="009106AC"/>
    <w:rsid w:val="00910AE4"/>
    <w:rsid w:val="00912E71"/>
    <w:rsid w:val="009166D4"/>
    <w:rsid w:val="00917112"/>
    <w:rsid w:val="009226BB"/>
    <w:rsid w:val="009238BD"/>
    <w:rsid w:val="0092772F"/>
    <w:rsid w:val="00942183"/>
    <w:rsid w:val="00957E5D"/>
    <w:rsid w:val="009849AD"/>
    <w:rsid w:val="00986303"/>
    <w:rsid w:val="009954A6"/>
    <w:rsid w:val="009B0484"/>
    <w:rsid w:val="009D5DB1"/>
    <w:rsid w:val="009D602B"/>
    <w:rsid w:val="009E1E6E"/>
    <w:rsid w:val="009E2B1D"/>
    <w:rsid w:val="009E7B2F"/>
    <w:rsid w:val="009F4504"/>
    <w:rsid w:val="00A01D62"/>
    <w:rsid w:val="00A03EAD"/>
    <w:rsid w:val="00A06D9A"/>
    <w:rsid w:val="00A1770F"/>
    <w:rsid w:val="00A23118"/>
    <w:rsid w:val="00A304F8"/>
    <w:rsid w:val="00A479FD"/>
    <w:rsid w:val="00A52AE3"/>
    <w:rsid w:val="00A8030F"/>
    <w:rsid w:val="00A90C96"/>
    <w:rsid w:val="00A9587F"/>
    <w:rsid w:val="00AA622D"/>
    <w:rsid w:val="00AB31C0"/>
    <w:rsid w:val="00AB4BF5"/>
    <w:rsid w:val="00AE0995"/>
    <w:rsid w:val="00AF142C"/>
    <w:rsid w:val="00AF4616"/>
    <w:rsid w:val="00B001B5"/>
    <w:rsid w:val="00B01245"/>
    <w:rsid w:val="00B13F33"/>
    <w:rsid w:val="00B17A42"/>
    <w:rsid w:val="00B2360F"/>
    <w:rsid w:val="00B25B91"/>
    <w:rsid w:val="00B265FF"/>
    <w:rsid w:val="00B41EDB"/>
    <w:rsid w:val="00B426AB"/>
    <w:rsid w:val="00B57D79"/>
    <w:rsid w:val="00B603AD"/>
    <w:rsid w:val="00B61EFB"/>
    <w:rsid w:val="00B7102D"/>
    <w:rsid w:val="00B718D6"/>
    <w:rsid w:val="00B841B4"/>
    <w:rsid w:val="00B8572B"/>
    <w:rsid w:val="00BA369F"/>
    <w:rsid w:val="00BA6A6E"/>
    <w:rsid w:val="00BB105D"/>
    <w:rsid w:val="00BE5A1F"/>
    <w:rsid w:val="00BE5A8D"/>
    <w:rsid w:val="00BE6D28"/>
    <w:rsid w:val="00C039E3"/>
    <w:rsid w:val="00C07FAE"/>
    <w:rsid w:val="00C11AD1"/>
    <w:rsid w:val="00C15E08"/>
    <w:rsid w:val="00C46FB2"/>
    <w:rsid w:val="00C50260"/>
    <w:rsid w:val="00C5220D"/>
    <w:rsid w:val="00C53243"/>
    <w:rsid w:val="00C61BA1"/>
    <w:rsid w:val="00C66DAC"/>
    <w:rsid w:val="00C6727E"/>
    <w:rsid w:val="00C90D45"/>
    <w:rsid w:val="00C933F9"/>
    <w:rsid w:val="00C955F7"/>
    <w:rsid w:val="00CA53F7"/>
    <w:rsid w:val="00CB3164"/>
    <w:rsid w:val="00CC0E17"/>
    <w:rsid w:val="00CC12FD"/>
    <w:rsid w:val="00CD3658"/>
    <w:rsid w:val="00CE6C89"/>
    <w:rsid w:val="00CE73CC"/>
    <w:rsid w:val="00CF35DF"/>
    <w:rsid w:val="00CF53C7"/>
    <w:rsid w:val="00D01944"/>
    <w:rsid w:val="00D11A6A"/>
    <w:rsid w:val="00D20593"/>
    <w:rsid w:val="00D47299"/>
    <w:rsid w:val="00D507E3"/>
    <w:rsid w:val="00D5083F"/>
    <w:rsid w:val="00D718A1"/>
    <w:rsid w:val="00D76843"/>
    <w:rsid w:val="00D7756E"/>
    <w:rsid w:val="00D851B9"/>
    <w:rsid w:val="00DB5D2C"/>
    <w:rsid w:val="00DD5E90"/>
    <w:rsid w:val="00E273B5"/>
    <w:rsid w:val="00E412BD"/>
    <w:rsid w:val="00E43416"/>
    <w:rsid w:val="00E51B30"/>
    <w:rsid w:val="00E573C4"/>
    <w:rsid w:val="00E65647"/>
    <w:rsid w:val="00E73D2E"/>
    <w:rsid w:val="00E85B61"/>
    <w:rsid w:val="00E973C8"/>
    <w:rsid w:val="00E97E69"/>
    <w:rsid w:val="00EA1253"/>
    <w:rsid w:val="00EA4138"/>
    <w:rsid w:val="00EB12FA"/>
    <w:rsid w:val="00EB7A8F"/>
    <w:rsid w:val="00EC1827"/>
    <w:rsid w:val="00EE51E5"/>
    <w:rsid w:val="00EE549E"/>
    <w:rsid w:val="00EF0C82"/>
    <w:rsid w:val="00F55B88"/>
    <w:rsid w:val="00F6419F"/>
    <w:rsid w:val="00F709E8"/>
    <w:rsid w:val="00F8223F"/>
    <w:rsid w:val="00FB33DA"/>
    <w:rsid w:val="00FC3D4E"/>
    <w:rsid w:val="00FD2F7C"/>
    <w:rsid w:val="00FE3802"/>
    <w:rsid w:val="00FE5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2E1E9E3"/>
  <w15:chartTrackingRefBased/>
  <w15:docId w15:val="{C908B3CF-603B-4509-A1B2-44A76C4D7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577A65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BE6D28"/>
    <w:pPr>
      <w:ind w:left="708"/>
    </w:pPr>
  </w:style>
  <w:style w:type="table" w:styleId="Tablaconcuadrcula">
    <w:name w:val="Table Grid"/>
    <w:basedOn w:val="Tablanormal"/>
    <w:rsid w:val="00E573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EB12FA"/>
    <w:rPr>
      <w:color w:val="0563C1"/>
      <w:u w:val="single"/>
    </w:rPr>
  </w:style>
  <w:style w:type="paragraph" w:customStyle="1" w:styleId="Car">
    <w:name w:val="Car"/>
    <w:basedOn w:val="Normal"/>
    <w:semiHidden/>
    <w:rsid w:val="00584916"/>
    <w:pPr>
      <w:spacing w:after="160" w:line="240" w:lineRule="exact"/>
    </w:pPr>
    <w:rPr>
      <w:rFonts w:ascii="Verdana" w:hAnsi="Verdana" w:cs="Verdana"/>
      <w:sz w:val="20"/>
      <w:szCs w:val="20"/>
      <w:lang w:val="en-AU" w:eastAsia="en-US"/>
    </w:rPr>
  </w:style>
  <w:style w:type="character" w:styleId="Mencinsinresolver">
    <w:name w:val="Unresolved Mention"/>
    <w:uiPriority w:val="99"/>
    <w:semiHidden/>
    <w:unhideWhenUsed/>
    <w:rsid w:val="00EE549E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rsid w:val="00AE099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AE0995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AE099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rsid w:val="00AE0995"/>
    <w:rPr>
      <w:sz w:val="24"/>
      <w:szCs w:val="24"/>
      <w:lang w:val="es-ES" w:eastAsia="es-ES"/>
    </w:rPr>
  </w:style>
  <w:style w:type="character" w:styleId="Hipervnculovisitado">
    <w:name w:val="FollowedHyperlink"/>
    <w:rsid w:val="00CF35DF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4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3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odriguezn@poder-judicial.go.c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grodriguezn@poder-judicial.go.c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roveeduria.poder-judicial.go.cr/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oveeduria@Poder-Judicial.go.c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24EBF1-7DC6-4362-8CC3-2C4A59AC7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648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4210</CharactersWithSpaces>
  <SharedDoc>false</SharedDoc>
  <HLinks>
    <vt:vector size="18" baseType="variant">
      <vt:variant>
        <vt:i4>4915308</vt:i4>
      </vt:variant>
      <vt:variant>
        <vt:i4>3</vt:i4>
      </vt:variant>
      <vt:variant>
        <vt:i4>0</vt:i4>
      </vt:variant>
      <vt:variant>
        <vt:i4>5</vt:i4>
      </vt:variant>
      <vt:variant>
        <vt:lpwstr>mailto:lsanchezga@poder-judicial.go.cr</vt:lpwstr>
      </vt:variant>
      <vt:variant>
        <vt:lpwstr/>
      </vt:variant>
      <vt:variant>
        <vt:i4>4653061</vt:i4>
      </vt:variant>
      <vt:variant>
        <vt:i4>0</vt:i4>
      </vt:variant>
      <vt:variant>
        <vt:i4>0</vt:i4>
      </vt:variant>
      <vt:variant>
        <vt:i4>5</vt:i4>
      </vt:variant>
      <vt:variant>
        <vt:lpwstr>https://proveeduria.poder-judicial.go.cr/</vt:lpwstr>
      </vt:variant>
      <vt:variant>
        <vt:lpwstr/>
      </vt:variant>
      <vt:variant>
        <vt:i4>2555904</vt:i4>
      </vt:variant>
      <vt:variant>
        <vt:i4>0</vt:i4>
      </vt:variant>
      <vt:variant>
        <vt:i4>0</vt:i4>
      </vt:variant>
      <vt:variant>
        <vt:i4>5</vt:i4>
      </vt:variant>
      <vt:variant>
        <vt:lpwstr>mailto:proveeduria@Poder-Judicial.go.cr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scastro</dc:creator>
  <cp:keywords/>
  <dc:description/>
  <cp:lastModifiedBy>Gerardo Rodríguez Navarro</cp:lastModifiedBy>
  <cp:revision>33</cp:revision>
  <cp:lastPrinted>2024-04-26T20:27:00Z</cp:lastPrinted>
  <dcterms:created xsi:type="dcterms:W3CDTF">2024-04-26T17:55:00Z</dcterms:created>
  <dcterms:modified xsi:type="dcterms:W3CDTF">2024-04-26T20:27:00Z</dcterms:modified>
</cp:coreProperties>
</file>