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5C582AF0" w:rsidR="00652F9D" w:rsidRPr="00C70E48" w:rsidRDefault="00652F9D" w:rsidP="00381A8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lang w:val="es-CR"/>
        </w:rPr>
      </w:pPr>
      <w:r w:rsidRPr="00C70E48">
        <w:rPr>
          <w:rFonts w:asciiTheme="minorHAnsi" w:hAnsiTheme="minorHAnsi" w:cstheme="minorHAnsi"/>
          <w:b/>
          <w:lang w:val="es-CR"/>
        </w:rPr>
        <w:t xml:space="preserve">CIRCULAR N° </w:t>
      </w:r>
      <w:r w:rsidR="00F668D7">
        <w:rPr>
          <w:rFonts w:asciiTheme="minorHAnsi" w:hAnsiTheme="minorHAnsi" w:cstheme="minorHAnsi"/>
          <w:b/>
          <w:lang w:val="es-CR"/>
        </w:rPr>
        <w:t>1</w:t>
      </w:r>
      <w:r w:rsidR="009D1671">
        <w:rPr>
          <w:rFonts w:asciiTheme="minorHAnsi" w:hAnsiTheme="minorHAnsi" w:cstheme="minorHAnsi"/>
          <w:b/>
          <w:lang w:val="es-CR"/>
        </w:rPr>
        <w:t>10</w:t>
      </w:r>
      <w:r w:rsidR="00EA49EC" w:rsidRPr="00C70E48">
        <w:rPr>
          <w:rFonts w:asciiTheme="minorHAnsi" w:hAnsiTheme="minorHAnsi" w:cstheme="minorHAnsi"/>
          <w:b/>
          <w:lang w:val="es-CR"/>
        </w:rPr>
        <w:t>-202</w:t>
      </w:r>
      <w:r w:rsidR="005E2B69" w:rsidRPr="00C70E48">
        <w:rPr>
          <w:rFonts w:asciiTheme="minorHAnsi" w:hAnsiTheme="minorHAnsi" w:cstheme="minorHAnsi"/>
          <w:b/>
          <w:lang w:val="es-CR"/>
        </w:rPr>
        <w:t>3</w:t>
      </w:r>
    </w:p>
    <w:p w14:paraId="698F1F65" w14:textId="77777777" w:rsidR="00652F9D" w:rsidRPr="00C70E48" w:rsidRDefault="00652F9D" w:rsidP="00381A88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lang w:val="es-CR"/>
        </w:rPr>
      </w:pPr>
    </w:p>
    <w:p w14:paraId="54017693" w14:textId="77777777" w:rsidR="00DD6F35" w:rsidRPr="00B77CE4" w:rsidRDefault="00DD6F35" w:rsidP="00DD6F35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>Licda. Adriana Esquivel Sanabria</w:t>
      </w:r>
    </w:p>
    <w:p w14:paraId="572EB7D3" w14:textId="77777777" w:rsidR="00DD6F35" w:rsidRPr="00B77CE4" w:rsidRDefault="00DD6F35" w:rsidP="00DD6F35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 xml:space="preserve">Jefe </w:t>
      </w:r>
      <w:proofErr w:type="spellStart"/>
      <w:r w:rsidRPr="00B77CE4">
        <w:rPr>
          <w:rFonts w:asciiTheme="minorHAnsi" w:hAnsiTheme="minorHAnsi" w:cstheme="minorHAnsi"/>
          <w:sz w:val="22"/>
          <w:szCs w:val="22"/>
          <w:lang w:val="es-CR"/>
        </w:rPr>
        <w:t>a.í</w:t>
      </w:r>
      <w:proofErr w:type="spellEnd"/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364EEC00" w14:textId="77777777" w:rsidR="00DD6F35" w:rsidRPr="00B77CE4" w:rsidRDefault="00DD6F35" w:rsidP="00DD6F35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0CC08762" w14:textId="2E8F9052" w:rsidR="00DD6F35" w:rsidRPr="00B77CE4" w:rsidRDefault="00DD6F35" w:rsidP="00DD6F35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>Administra</w:t>
      </w:r>
      <w:r w:rsidR="004017FB">
        <w:rPr>
          <w:rFonts w:asciiTheme="minorHAnsi" w:hAnsiTheme="minorHAnsi" w:cstheme="minorHAnsi"/>
          <w:sz w:val="22"/>
          <w:szCs w:val="22"/>
          <w:lang w:val="es-CR"/>
        </w:rPr>
        <w:t>ciones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4017FB">
        <w:rPr>
          <w:rFonts w:asciiTheme="minorHAnsi" w:hAnsiTheme="minorHAnsi" w:cstheme="minorHAnsi"/>
          <w:sz w:val="22"/>
          <w:szCs w:val="22"/>
          <w:lang w:val="es-CR"/>
        </w:rPr>
        <w:t xml:space="preserve">Regionales que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>ejecutan compras.</w:t>
      </w:r>
    </w:p>
    <w:p w14:paraId="511663BD" w14:textId="77777777" w:rsidR="00DD6F35" w:rsidRPr="00B77CE4" w:rsidRDefault="00DD6F35" w:rsidP="00DD6F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259E4A80" w14:textId="77777777" w:rsidR="005B6E29" w:rsidRDefault="00DD6F35" w:rsidP="005B6E2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b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SUNTO: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5B6E29" w:rsidRPr="0033292B">
        <w:rPr>
          <w:rFonts w:asciiTheme="minorHAnsi" w:hAnsiTheme="minorHAnsi" w:cstheme="minorHAnsi"/>
          <w:sz w:val="22"/>
          <w:szCs w:val="22"/>
          <w:lang w:val="es-CR"/>
        </w:rPr>
        <w:t xml:space="preserve">Definición de </w:t>
      </w:r>
      <w:r w:rsidR="005B6E29">
        <w:rPr>
          <w:rFonts w:asciiTheme="minorHAnsi" w:hAnsiTheme="minorHAnsi" w:cstheme="minorHAnsi"/>
          <w:sz w:val="22"/>
          <w:szCs w:val="22"/>
          <w:lang w:val="es-CR"/>
        </w:rPr>
        <w:t>las nomenclaturas</w:t>
      </w:r>
      <w:r w:rsidR="005B6E29" w:rsidRPr="0033292B">
        <w:rPr>
          <w:rFonts w:asciiTheme="minorHAnsi" w:hAnsiTheme="minorHAnsi" w:cstheme="minorHAnsi"/>
          <w:sz w:val="22"/>
          <w:szCs w:val="22"/>
          <w:lang w:val="es-CR"/>
        </w:rPr>
        <w:t xml:space="preserve"> para </w:t>
      </w:r>
      <w:r w:rsidR="005B6E29">
        <w:rPr>
          <w:rFonts w:asciiTheme="minorHAnsi" w:hAnsiTheme="minorHAnsi" w:cstheme="minorHAnsi"/>
          <w:sz w:val="22"/>
          <w:szCs w:val="22"/>
          <w:lang w:val="es-CR"/>
        </w:rPr>
        <w:t>los p</w:t>
      </w:r>
      <w:r w:rsidR="005B6E29" w:rsidRPr="0033292B">
        <w:rPr>
          <w:rFonts w:asciiTheme="minorHAnsi" w:hAnsiTheme="minorHAnsi" w:cstheme="minorHAnsi"/>
          <w:sz w:val="22"/>
          <w:szCs w:val="22"/>
          <w:lang w:val="es-CR"/>
        </w:rPr>
        <w:t>rocedimientos de contratación</w:t>
      </w:r>
      <w:r w:rsidR="005B6E29">
        <w:rPr>
          <w:rFonts w:asciiTheme="minorHAnsi" w:hAnsiTheme="minorHAnsi" w:cstheme="minorHAnsi"/>
          <w:sz w:val="22"/>
          <w:szCs w:val="22"/>
          <w:lang w:val="es-CR"/>
        </w:rPr>
        <w:t xml:space="preserve"> definidos por la </w:t>
      </w:r>
    </w:p>
    <w:p w14:paraId="449CC566" w14:textId="77777777" w:rsidR="005B6E29" w:rsidRPr="00B77CE4" w:rsidRDefault="005B6E29" w:rsidP="005B6E2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15FB9">
        <w:rPr>
          <w:rFonts w:asciiTheme="minorHAnsi" w:hAnsiTheme="minorHAnsi" w:cstheme="minorHAnsi"/>
          <w:sz w:val="22"/>
          <w:szCs w:val="22"/>
        </w:rPr>
        <w:t>Ley General de Contratación Pública (LGCP) y su Reglamento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ACA9AB" w14:textId="4D4DBD09" w:rsidR="00DD6F35" w:rsidRPr="00B77CE4" w:rsidRDefault="00DD6F35" w:rsidP="00DD6F35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54F5C602" w14:textId="2517BDC8" w:rsidR="00DD6F35" w:rsidRPr="00B77CE4" w:rsidRDefault="00DD6F35" w:rsidP="00DD6F35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>
        <w:rPr>
          <w:rFonts w:asciiTheme="minorHAnsi" w:hAnsiTheme="minorHAnsi" w:cstheme="minorHAnsi"/>
          <w:sz w:val="22"/>
          <w:szCs w:val="22"/>
          <w:lang w:val="es-CR"/>
        </w:rPr>
        <w:t>30 de junio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de 2023 </w:t>
      </w:r>
    </w:p>
    <w:p w14:paraId="73BA201A" w14:textId="77777777" w:rsidR="00DD6F35" w:rsidRPr="00B77CE4" w:rsidRDefault="00DD6F35" w:rsidP="00DD6F35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E7C6E" w14:textId="77777777" w:rsidR="00DD6F35" w:rsidRPr="00B77CE4" w:rsidRDefault="00DD6F35" w:rsidP="00DD6F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3AB99" w14:textId="1AD865B2" w:rsidR="00B31483" w:rsidRDefault="00DD6F35" w:rsidP="00DD6F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CE4">
        <w:rPr>
          <w:rFonts w:asciiTheme="minorHAnsi" w:hAnsiTheme="minorHAnsi" w:cstheme="minorHAnsi"/>
          <w:sz w:val="22"/>
          <w:szCs w:val="22"/>
        </w:rPr>
        <w:t>Estimados compañeros (as) encargados (as) de Centros de Responsabilidad y personas usuarias en general que tramitan contrataciones,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1483" w:rsidRPr="00615FB9">
        <w:rPr>
          <w:rFonts w:asciiTheme="minorHAnsi" w:hAnsiTheme="minorHAnsi" w:cstheme="minorHAnsi"/>
          <w:sz w:val="22"/>
          <w:szCs w:val="22"/>
        </w:rPr>
        <w:t xml:space="preserve">de acuerdo con las nuevas disposiciones establecidas en la Ley General de Contratación Pública (LGCP) y su Reglamento, </w:t>
      </w:r>
      <w:r w:rsidR="00B31483">
        <w:rPr>
          <w:rFonts w:asciiTheme="minorHAnsi" w:hAnsiTheme="minorHAnsi" w:cstheme="minorHAnsi"/>
          <w:sz w:val="22"/>
          <w:szCs w:val="22"/>
        </w:rPr>
        <w:t xml:space="preserve">y con el objetivo de formalizar la definición de las nomenclaturas que identifican a los diferentes tipos de procedimientos establecidos en la nueva legislación y facilitar con ello la selección del tipo correcto para cada proceso que se asigne tanto en el SIGA-PJ como en SICOP, a continuación, se detallan una serie de consideraciones para su aplicación:   </w:t>
      </w:r>
    </w:p>
    <w:p w14:paraId="2B7AD3B1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17EF3D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Inicialmente, se enlistan las nomenclaturas asignadas a cada uno de los distintos tipos de procedimientos:  </w:t>
      </w:r>
    </w:p>
    <w:p w14:paraId="0B41CB02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137"/>
      </w:tblGrid>
      <w:tr w:rsidR="00B31483" w14:paraId="34E54074" w14:textId="77777777" w:rsidTr="000926CC">
        <w:trPr>
          <w:trHeight w:val="462"/>
          <w:jc w:val="center"/>
        </w:trPr>
        <w:tc>
          <w:tcPr>
            <w:tcW w:w="3888" w:type="dxa"/>
            <w:shd w:val="clear" w:color="auto" w:fill="1F3864" w:themeFill="accent1" w:themeFillShade="80"/>
            <w:vAlign w:val="center"/>
          </w:tcPr>
          <w:p w14:paraId="7615C904" w14:textId="77777777" w:rsidR="00B3148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 de Procedimiento</w:t>
            </w:r>
          </w:p>
        </w:tc>
        <w:tc>
          <w:tcPr>
            <w:tcW w:w="2137" w:type="dxa"/>
            <w:shd w:val="clear" w:color="auto" w:fill="1F3864" w:themeFill="accent1" w:themeFillShade="80"/>
            <w:vAlign w:val="center"/>
          </w:tcPr>
          <w:p w14:paraId="3CCD8E9F" w14:textId="77777777" w:rsidR="00B3148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Nomenclatura definida</w:t>
            </w:r>
          </w:p>
        </w:tc>
      </w:tr>
      <w:tr w:rsidR="00B31483" w14:paraId="60E0B517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59E6820C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Licitación Mayor</w:t>
            </w:r>
          </w:p>
        </w:tc>
        <w:tc>
          <w:tcPr>
            <w:tcW w:w="2137" w:type="dxa"/>
            <w:vAlign w:val="center"/>
          </w:tcPr>
          <w:p w14:paraId="7B17F360" w14:textId="77777777" w:rsidR="00B31483" w:rsidRPr="00CB77D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</w:t>
            </w:r>
          </w:p>
        </w:tc>
      </w:tr>
      <w:tr w:rsidR="00B31483" w14:paraId="1F4B0F95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27902014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Licitación Menor</w:t>
            </w:r>
          </w:p>
        </w:tc>
        <w:tc>
          <w:tcPr>
            <w:tcW w:w="2137" w:type="dxa"/>
            <w:vAlign w:val="center"/>
          </w:tcPr>
          <w:p w14:paraId="5F2B683F" w14:textId="77777777" w:rsidR="00B31483" w:rsidRPr="00CB77D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</w:t>
            </w:r>
          </w:p>
        </w:tc>
      </w:tr>
      <w:tr w:rsidR="00B31483" w14:paraId="360EC0B8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1DA180AD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Licitación Reducida </w:t>
            </w:r>
          </w:p>
        </w:tc>
        <w:tc>
          <w:tcPr>
            <w:tcW w:w="2137" w:type="dxa"/>
            <w:vAlign w:val="center"/>
          </w:tcPr>
          <w:p w14:paraId="57D23381" w14:textId="77777777" w:rsidR="00B31483" w:rsidRPr="00CB77D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LD</w:t>
            </w:r>
          </w:p>
        </w:tc>
      </w:tr>
      <w:tr w:rsidR="00B31483" w14:paraId="7A9975EB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6F04190D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Procedimientos Especiales </w:t>
            </w:r>
          </w:p>
        </w:tc>
        <w:tc>
          <w:tcPr>
            <w:tcW w:w="2137" w:type="dxa"/>
            <w:vAlign w:val="center"/>
          </w:tcPr>
          <w:p w14:paraId="0B41E922" w14:textId="77777777" w:rsidR="00B31483" w:rsidRPr="00CB77D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</w:t>
            </w:r>
          </w:p>
        </w:tc>
      </w:tr>
      <w:tr w:rsidR="00B31483" w14:paraId="6A591D58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6C4DBDE4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Procedimiento Especial de Urgencia </w:t>
            </w:r>
          </w:p>
        </w:tc>
        <w:tc>
          <w:tcPr>
            <w:tcW w:w="2137" w:type="dxa"/>
            <w:vAlign w:val="center"/>
          </w:tcPr>
          <w:p w14:paraId="7D7AC80A" w14:textId="77777777" w:rsidR="00B31483" w:rsidRPr="00CB77D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XE</w:t>
            </w:r>
          </w:p>
        </w:tc>
      </w:tr>
      <w:tr w:rsidR="00B31483" w14:paraId="0EF6C070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77C7A097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Procedimiento por Excepción</w:t>
            </w:r>
          </w:p>
        </w:tc>
        <w:tc>
          <w:tcPr>
            <w:tcW w:w="2137" w:type="dxa"/>
            <w:vAlign w:val="center"/>
          </w:tcPr>
          <w:p w14:paraId="4068C913" w14:textId="77777777" w:rsidR="00B3148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PX</w:t>
            </w:r>
          </w:p>
        </w:tc>
      </w:tr>
      <w:tr w:rsidR="00B31483" w14:paraId="38B999D5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2B4136B2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Subasta Inversa Electrónica</w:t>
            </w:r>
          </w:p>
        </w:tc>
        <w:tc>
          <w:tcPr>
            <w:tcW w:w="2137" w:type="dxa"/>
            <w:vAlign w:val="center"/>
          </w:tcPr>
          <w:p w14:paraId="7FDC125E" w14:textId="77777777" w:rsidR="00B3148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7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</w:p>
        </w:tc>
      </w:tr>
      <w:tr w:rsidR="00B31483" w14:paraId="3A526BB8" w14:textId="77777777" w:rsidTr="000926CC">
        <w:trPr>
          <w:trHeight w:val="462"/>
          <w:jc w:val="center"/>
        </w:trPr>
        <w:tc>
          <w:tcPr>
            <w:tcW w:w="3888" w:type="dxa"/>
            <w:vAlign w:val="center"/>
          </w:tcPr>
          <w:p w14:paraId="434F599E" w14:textId="77777777" w:rsidR="00B31483" w:rsidRDefault="00B31483" w:rsidP="000926C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Remate </w:t>
            </w:r>
          </w:p>
        </w:tc>
        <w:tc>
          <w:tcPr>
            <w:tcW w:w="2137" w:type="dxa"/>
            <w:vAlign w:val="center"/>
          </w:tcPr>
          <w:p w14:paraId="562DE90D" w14:textId="77777777" w:rsidR="00B31483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</w:t>
            </w:r>
          </w:p>
        </w:tc>
      </w:tr>
    </w:tbl>
    <w:p w14:paraId="06FB3D13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2C376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Tal y como se muestra en la siguiente imagen cada uno de los procedimientos listados ya se muestran en SIGA para su selección: </w:t>
      </w:r>
    </w:p>
    <w:p w14:paraId="3AF18399" w14:textId="77777777" w:rsidR="00B31483" w:rsidRDefault="00B31483" w:rsidP="00B314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2B2F4D4" wp14:editId="76673644">
            <wp:extent cx="2752090" cy="2816225"/>
            <wp:effectExtent l="76200" t="76200" r="124460" b="136525"/>
            <wp:docPr id="1121987047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87047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9" t="20504" r="33240"/>
                    <a:stretch/>
                  </pic:blipFill>
                  <pic:spPr bwMode="auto">
                    <a:xfrm>
                      <a:off x="0" y="0"/>
                      <a:ext cx="2752090" cy="2816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256A1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lo que respecta a los </w:t>
      </w:r>
      <w:r w:rsidRPr="00DA2ED8">
        <w:rPr>
          <w:rFonts w:asciiTheme="minorHAnsi" w:hAnsiTheme="minorHAnsi" w:cstheme="minorHAnsi"/>
          <w:b/>
          <w:bCs/>
          <w:sz w:val="22"/>
          <w:szCs w:val="22"/>
        </w:rPr>
        <w:t>Procedimientos por excepción</w:t>
      </w:r>
      <w:r>
        <w:rPr>
          <w:rFonts w:asciiTheme="minorHAnsi" w:hAnsiTheme="minorHAnsi" w:cstheme="minorHAnsi"/>
          <w:sz w:val="22"/>
          <w:szCs w:val="22"/>
        </w:rPr>
        <w:t>, se les recuerda que estos se encuentran claramente definidos en los artículos 3 al 15 de la LGCP y su reglamento y corresponden exclusivamente a:</w:t>
      </w:r>
    </w:p>
    <w:p w14:paraId="17D2345C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F670A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21A06">
        <w:rPr>
          <w:rFonts w:asciiTheme="minorHAnsi" w:hAnsiTheme="minorHAnsi" w:cstheme="minorHAnsi"/>
        </w:rPr>
        <w:t>Acuerdos internacionales aprobados por la Asamblea Legislativa</w:t>
      </w:r>
      <w:r>
        <w:rPr>
          <w:rFonts w:asciiTheme="minorHAnsi" w:hAnsiTheme="minorHAnsi" w:cstheme="minorHAnsi"/>
        </w:rPr>
        <w:t xml:space="preserve">. </w:t>
      </w:r>
    </w:p>
    <w:p w14:paraId="1390DEA0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F82DCC">
        <w:rPr>
          <w:rFonts w:asciiTheme="minorHAnsi" w:hAnsiTheme="minorHAnsi" w:cstheme="minorHAnsi"/>
        </w:rPr>
        <w:t>Contratación entre entes de derecho público.</w:t>
      </w:r>
    </w:p>
    <w:p w14:paraId="37B95A7F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52576">
        <w:rPr>
          <w:rFonts w:asciiTheme="minorHAnsi" w:hAnsiTheme="minorHAnsi" w:cstheme="minorHAnsi"/>
        </w:rPr>
        <w:t>Proveedor único</w:t>
      </w:r>
      <w:r>
        <w:rPr>
          <w:rFonts w:asciiTheme="minorHAnsi" w:hAnsiTheme="minorHAnsi" w:cstheme="minorHAnsi"/>
        </w:rPr>
        <w:t>.</w:t>
      </w:r>
    </w:p>
    <w:p w14:paraId="5CD180B8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54816">
        <w:rPr>
          <w:rFonts w:asciiTheme="minorHAnsi" w:hAnsiTheme="minorHAnsi" w:cstheme="minorHAnsi"/>
        </w:rPr>
        <w:t>Patrocinio</w:t>
      </w:r>
      <w:r>
        <w:rPr>
          <w:rFonts w:asciiTheme="minorHAnsi" w:hAnsiTheme="minorHAnsi" w:cstheme="minorHAnsi"/>
        </w:rPr>
        <w:t>.</w:t>
      </w:r>
    </w:p>
    <w:p w14:paraId="6C43F0BA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54816">
        <w:rPr>
          <w:rFonts w:asciiTheme="minorHAnsi" w:hAnsiTheme="minorHAnsi" w:cstheme="minorHAnsi"/>
        </w:rPr>
        <w:t>Medios de comunicación social</w:t>
      </w:r>
      <w:r>
        <w:rPr>
          <w:rFonts w:asciiTheme="minorHAnsi" w:hAnsiTheme="minorHAnsi" w:cstheme="minorHAnsi"/>
        </w:rPr>
        <w:t>.</w:t>
      </w:r>
    </w:p>
    <w:p w14:paraId="05770044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20F1">
        <w:rPr>
          <w:rFonts w:asciiTheme="minorHAnsi" w:hAnsiTheme="minorHAnsi" w:cstheme="minorHAnsi"/>
        </w:rPr>
        <w:t>Servicios de capacitación abierta</w:t>
      </w:r>
      <w:r>
        <w:rPr>
          <w:rFonts w:asciiTheme="minorHAnsi" w:hAnsiTheme="minorHAnsi" w:cstheme="minorHAnsi"/>
        </w:rPr>
        <w:t>.</w:t>
      </w:r>
    </w:p>
    <w:p w14:paraId="4151EB5F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20F1">
        <w:rPr>
          <w:rFonts w:asciiTheme="minorHAnsi" w:hAnsiTheme="minorHAnsi" w:cstheme="minorHAnsi"/>
        </w:rPr>
        <w:t>Contratación de numerario</w:t>
      </w:r>
      <w:r>
        <w:rPr>
          <w:rFonts w:asciiTheme="minorHAnsi" w:hAnsiTheme="minorHAnsi" w:cstheme="minorHAnsi"/>
        </w:rPr>
        <w:t>.</w:t>
      </w:r>
    </w:p>
    <w:p w14:paraId="7EBF7DF7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20F1">
        <w:rPr>
          <w:rFonts w:asciiTheme="minorHAnsi" w:hAnsiTheme="minorHAnsi" w:cstheme="minorHAnsi"/>
        </w:rPr>
        <w:t>Compra con Fondos de Caja Chica</w:t>
      </w:r>
      <w:r>
        <w:rPr>
          <w:rFonts w:asciiTheme="minorHAnsi" w:hAnsiTheme="minorHAnsi" w:cstheme="minorHAnsi"/>
        </w:rPr>
        <w:t>.</w:t>
      </w:r>
    </w:p>
    <w:p w14:paraId="1350607F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229D2">
        <w:rPr>
          <w:rFonts w:asciiTheme="minorHAnsi" w:hAnsiTheme="minorHAnsi" w:cstheme="minorHAnsi"/>
        </w:rPr>
        <w:t>Alianzas estratégicas</w:t>
      </w:r>
      <w:r>
        <w:rPr>
          <w:rFonts w:asciiTheme="minorHAnsi" w:hAnsiTheme="minorHAnsi" w:cstheme="minorHAnsi"/>
        </w:rPr>
        <w:t>.</w:t>
      </w:r>
    </w:p>
    <w:p w14:paraId="0D92B40B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229D2">
        <w:rPr>
          <w:rFonts w:asciiTheme="minorHAnsi" w:hAnsiTheme="minorHAnsi" w:cstheme="minorHAnsi"/>
        </w:rPr>
        <w:t>Bienes o servicios artísticos, culturales e intelectuales</w:t>
      </w:r>
      <w:r>
        <w:rPr>
          <w:rFonts w:asciiTheme="minorHAnsi" w:hAnsiTheme="minorHAnsi" w:cstheme="minorHAnsi"/>
        </w:rPr>
        <w:t>.</w:t>
      </w:r>
    </w:p>
    <w:p w14:paraId="5011BD8C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229D2">
        <w:rPr>
          <w:rFonts w:asciiTheme="minorHAnsi" w:hAnsiTheme="minorHAnsi" w:cstheme="minorHAnsi"/>
        </w:rPr>
        <w:t>Reparaciones indeterminadas</w:t>
      </w:r>
      <w:r>
        <w:rPr>
          <w:rFonts w:asciiTheme="minorHAnsi" w:hAnsiTheme="minorHAnsi" w:cstheme="minorHAnsi"/>
        </w:rPr>
        <w:t>.</w:t>
      </w:r>
    </w:p>
    <w:p w14:paraId="53A17C80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Pr="00ED7049">
        <w:rPr>
          <w:rFonts w:asciiTheme="minorHAnsi" w:hAnsiTheme="minorHAnsi" w:cstheme="minorHAnsi"/>
          <w:sz w:val="22"/>
          <w:szCs w:val="22"/>
        </w:rPr>
        <w:t>cuanto a los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6B02">
        <w:rPr>
          <w:rFonts w:asciiTheme="minorHAnsi" w:hAnsiTheme="minorHAnsi" w:cstheme="minorHAnsi"/>
          <w:b/>
          <w:bCs/>
          <w:sz w:val="22"/>
          <w:szCs w:val="22"/>
        </w:rPr>
        <w:t>Procedimientos Especiales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D7049">
        <w:rPr>
          <w:rFonts w:asciiTheme="minorHAnsi" w:hAnsiTheme="minorHAnsi" w:cstheme="minorHAnsi"/>
          <w:sz w:val="22"/>
          <w:szCs w:val="22"/>
        </w:rPr>
        <w:t>estos se</w:t>
      </w:r>
      <w:r>
        <w:rPr>
          <w:rFonts w:asciiTheme="minorHAnsi" w:hAnsiTheme="minorHAnsi" w:cstheme="minorHAnsi"/>
          <w:sz w:val="22"/>
          <w:szCs w:val="22"/>
        </w:rPr>
        <w:t xml:space="preserve"> encuentran definidos en los artículos 66 al 70 de la Ley General de Contratación Pública y artículos 166 al 170 de su reglamento y son los siguientes: </w:t>
      </w:r>
    </w:p>
    <w:p w14:paraId="75320FC4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93C72B" w14:textId="77777777" w:rsidR="00B31483" w:rsidRPr="001221D8" w:rsidRDefault="00B31483" w:rsidP="00B3148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221D8">
        <w:rPr>
          <w:rFonts w:asciiTheme="minorHAnsi" w:hAnsiTheme="minorHAnsi" w:cstheme="minorHAnsi"/>
        </w:rPr>
        <w:t>Contrataciones de urgencia</w:t>
      </w:r>
      <w:r>
        <w:rPr>
          <w:rFonts w:asciiTheme="minorHAnsi" w:hAnsiTheme="minorHAnsi" w:cstheme="minorHAnsi"/>
        </w:rPr>
        <w:t xml:space="preserve"> – Artículo 66 LGCP y 166 del reglamento - </w:t>
      </w:r>
    </w:p>
    <w:p w14:paraId="6C4C84ED" w14:textId="77777777" w:rsidR="00B31483" w:rsidRDefault="00B31483" w:rsidP="00B31483">
      <w:pPr>
        <w:pStyle w:val="Prrafodelista"/>
        <w:numPr>
          <w:ilvl w:val="0"/>
          <w:numId w:val="17"/>
        </w:numPr>
        <w:jc w:val="both"/>
        <w:rPr>
          <w:rFonts w:ascii="*Arial-6837-Identity-H" w:hAnsi="*Arial-6837-Identity-H" w:cs="*Arial-6837-Identity-H"/>
          <w:color w:val="0D0E0E"/>
          <w:lang w:eastAsia="es-CR"/>
        </w:rPr>
      </w:pPr>
      <w:r w:rsidRPr="001221D8">
        <w:rPr>
          <w:rFonts w:ascii="*Arial-6837-Identity-H" w:hAnsi="*Arial-6837-Identity-H" w:cs="*Arial-6837-Identity-H"/>
          <w:color w:val="0D0E0E"/>
          <w:lang w:eastAsia="es-CR"/>
        </w:rPr>
        <w:t>Compra y arrendamiento de bienes inmuebles</w:t>
      </w:r>
      <w:r>
        <w:rPr>
          <w:rFonts w:ascii="*Arial-6837-Identity-H" w:hAnsi="*Arial-6837-Identity-H" w:cs="*Arial-6837-Identity-H"/>
          <w:color w:val="0D0E0E"/>
          <w:lang w:eastAsia="es-CR"/>
        </w:rPr>
        <w:t xml:space="preserve"> </w:t>
      </w:r>
      <w:r>
        <w:rPr>
          <w:rFonts w:asciiTheme="minorHAnsi" w:hAnsiTheme="minorHAnsi" w:cstheme="minorHAnsi"/>
        </w:rPr>
        <w:t>– Artículo 67 LGCP y 167 del reglamento -</w:t>
      </w:r>
    </w:p>
    <w:p w14:paraId="4E945CCD" w14:textId="77777777" w:rsidR="00B31483" w:rsidRPr="009A0709" w:rsidRDefault="00B31483" w:rsidP="00B31483">
      <w:pPr>
        <w:pStyle w:val="Prrafodelista"/>
        <w:numPr>
          <w:ilvl w:val="0"/>
          <w:numId w:val="17"/>
        </w:numPr>
        <w:jc w:val="both"/>
        <w:rPr>
          <w:rFonts w:ascii="*Arial-6837-Identity-H" w:hAnsi="*Arial-6837-Identity-H" w:cs="*Arial-6837-Identity-H"/>
          <w:color w:val="161717"/>
          <w:lang w:eastAsia="es-CR"/>
        </w:rPr>
      </w:pPr>
      <w:r w:rsidRPr="001221D8">
        <w:rPr>
          <w:rFonts w:ascii="*Arial-6837-Identity-H" w:hAnsi="*Arial-6837-Identity-H" w:cs="*Arial-6837-Identity-H"/>
          <w:color w:val="161717"/>
          <w:lang w:eastAsia="es-CR"/>
        </w:rPr>
        <w:t>Servicios en competencia</w:t>
      </w:r>
      <w:r>
        <w:rPr>
          <w:rFonts w:ascii="*Arial-6837-Identity-H" w:hAnsi="*Arial-6837-Identity-H" w:cs="*Arial-6837-Identity-H"/>
          <w:color w:val="161717"/>
          <w:lang w:eastAsia="es-CR"/>
        </w:rPr>
        <w:t xml:space="preserve"> </w:t>
      </w:r>
      <w:r>
        <w:rPr>
          <w:rFonts w:asciiTheme="minorHAnsi" w:hAnsiTheme="minorHAnsi" w:cstheme="minorHAnsi"/>
        </w:rPr>
        <w:t>– Artículo 68 al 70 LGCP y 168 al 170 del reglamento -</w:t>
      </w:r>
    </w:p>
    <w:p w14:paraId="2CB9031C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Es importante tener en cuenta que p</w:t>
      </w:r>
      <w:r w:rsidRPr="00FB36B2">
        <w:rPr>
          <w:rFonts w:asciiTheme="minorHAnsi" w:hAnsiTheme="minorHAnsi" w:cstheme="minorHAnsi"/>
          <w:sz w:val="22"/>
          <w:szCs w:val="22"/>
        </w:rPr>
        <w:t xml:space="preserve">ara el </w:t>
      </w:r>
      <w:r w:rsidRPr="00860DC2">
        <w:rPr>
          <w:rFonts w:asciiTheme="minorHAnsi" w:hAnsiTheme="minorHAnsi" w:cstheme="minorHAnsi"/>
          <w:b/>
          <w:bCs/>
          <w:sz w:val="22"/>
          <w:szCs w:val="22"/>
        </w:rPr>
        <w:t>procedimiento especial de urgencia amparado al artículo 66</w:t>
      </w:r>
      <w:r w:rsidRPr="00FB36B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existen</w:t>
      </w:r>
      <w:r w:rsidRPr="00FB36B2">
        <w:rPr>
          <w:rFonts w:asciiTheme="minorHAnsi" w:hAnsiTheme="minorHAnsi" w:cstheme="minorHAnsi"/>
          <w:sz w:val="22"/>
          <w:szCs w:val="22"/>
        </w:rPr>
        <w:t xml:space="preserve"> dos nomenclaturas</w:t>
      </w:r>
      <w:r>
        <w:rPr>
          <w:rFonts w:asciiTheme="minorHAnsi" w:hAnsiTheme="minorHAnsi" w:cstheme="minorHAnsi"/>
          <w:sz w:val="22"/>
          <w:szCs w:val="22"/>
        </w:rPr>
        <w:t>, y para cada una a continuación, se detalla el procedimiento a seguir para su incorporación en las pantallas de SICOP</w:t>
      </w:r>
      <w:r w:rsidRPr="00FB36B2">
        <w:rPr>
          <w:rFonts w:asciiTheme="minorHAnsi" w:hAnsiTheme="minorHAnsi" w:cstheme="minorHAnsi"/>
          <w:sz w:val="22"/>
          <w:szCs w:val="22"/>
        </w:rPr>
        <w:t>:</w:t>
      </w:r>
    </w:p>
    <w:p w14:paraId="50B90C75" w14:textId="77777777" w:rsidR="00B31483" w:rsidRPr="00FB36B2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FC2B0" w14:textId="77777777" w:rsidR="00B31483" w:rsidRPr="00D2060D" w:rsidRDefault="00B31483" w:rsidP="00B31483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060D">
        <w:rPr>
          <w:rFonts w:asciiTheme="minorHAnsi" w:hAnsiTheme="minorHAnsi" w:cstheme="minorHAnsi"/>
          <w:b/>
          <w:bCs/>
        </w:rPr>
        <w:t>XE</w:t>
      </w:r>
      <w:r w:rsidRPr="00D2060D">
        <w:rPr>
          <w:rFonts w:asciiTheme="minorHAnsi" w:hAnsiTheme="minorHAnsi" w:cstheme="minorHAnsi"/>
        </w:rPr>
        <w:t xml:space="preserve">: corresponde a los procedimientos de urgencia que se tramitan en SICOP. </w:t>
      </w:r>
    </w:p>
    <w:p w14:paraId="6B7CC023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36B2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 xml:space="preserve">estos casos, al momento de confeccionar en SICOP </w:t>
      </w:r>
      <w:r w:rsidRPr="009318F8">
        <w:rPr>
          <w:rFonts w:asciiTheme="minorHAnsi" w:hAnsiTheme="minorHAnsi" w:cstheme="minorHAnsi"/>
          <w:sz w:val="22"/>
          <w:szCs w:val="22"/>
        </w:rPr>
        <w:t>la Solicitud de Contratación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B36B2">
        <w:rPr>
          <w:rFonts w:asciiTheme="minorHAnsi" w:hAnsiTheme="minorHAnsi" w:cstheme="minorHAnsi"/>
          <w:sz w:val="22"/>
          <w:szCs w:val="22"/>
        </w:rPr>
        <w:t>en el apartado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2F85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F32F85">
        <w:rPr>
          <w:rFonts w:asciiTheme="minorHAnsi" w:hAnsiTheme="minorHAnsi" w:cstheme="minorHAnsi"/>
          <w:sz w:val="22"/>
          <w:szCs w:val="22"/>
        </w:rPr>
        <w:t>Información de la contratación</w:t>
      </w:r>
      <w:r>
        <w:rPr>
          <w:rFonts w:asciiTheme="minorHAnsi" w:hAnsiTheme="minorHAnsi" w:cstheme="minorHAnsi"/>
          <w:sz w:val="22"/>
          <w:szCs w:val="22"/>
        </w:rPr>
        <w:t xml:space="preserve">”, donde se designa el </w:t>
      </w:r>
      <w:r w:rsidRPr="00FB36B2">
        <w:rPr>
          <w:rFonts w:asciiTheme="minorHAnsi" w:hAnsiTheme="minorHAnsi" w:cstheme="minorHAnsi"/>
          <w:sz w:val="22"/>
          <w:szCs w:val="22"/>
        </w:rPr>
        <w:t>tipo de procedimiento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B36B2">
        <w:rPr>
          <w:rFonts w:asciiTheme="minorHAnsi" w:hAnsiTheme="minorHAnsi" w:cstheme="minorHAnsi"/>
          <w:sz w:val="22"/>
          <w:szCs w:val="22"/>
        </w:rPr>
        <w:t xml:space="preserve">se debe seleccionar “Procedimientos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B36B2">
        <w:rPr>
          <w:rFonts w:asciiTheme="minorHAnsi" w:hAnsiTheme="minorHAnsi" w:cstheme="minorHAnsi"/>
          <w:sz w:val="22"/>
          <w:szCs w:val="22"/>
        </w:rPr>
        <w:t>speciales” y en el tipo de modalidad se elige</w:t>
      </w:r>
      <w:r>
        <w:rPr>
          <w:rFonts w:asciiTheme="minorHAnsi" w:hAnsiTheme="minorHAnsi" w:cstheme="minorHAnsi"/>
          <w:sz w:val="22"/>
          <w:szCs w:val="22"/>
        </w:rPr>
        <w:t xml:space="preserve"> la que corresponda a la gestión asignada, sea: </w:t>
      </w:r>
    </w:p>
    <w:p w14:paraId="2BE3F5A1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2DF27" w14:textId="77777777" w:rsidR="00B31483" w:rsidRPr="00093D62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93D62">
        <w:rPr>
          <w:rFonts w:asciiTheme="minorHAnsi" w:hAnsiTheme="minorHAnsi" w:cstheme="minorHAnsi"/>
        </w:rPr>
        <w:t>Cantidad definida</w:t>
      </w:r>
      <w:r w:rsidRPr="00093D62">
        <w:rPr>
          <w:rFonts w:asciiTheme="minorHAnsi" w:hAnsiTheme="minorHAnsi" w:cstheme="minorHAnsi"/>
        </w:rPr>
        <w:tab/>
      </w:r>
    </w:p>
    <w:p w14:paraId="7D47C7D0" w14:textId="77777777" w:rsidR="00B31483" w:rsidRPr="00093D62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93D62">
        <w:rPr>
          <w:rFonts w:asciiTheme="minorHAnsi" w:hAnsiTheme="minorHAnsi" w:cstheme="minorHAnsi"/>
        </w:rPr>
        <w:t>Según demanda</w:t>
      </w:r>
    </w:p>
    <w:p w14:paraId="45C95EF0" w14:textId="77777777" w:rsidR="00B31483" w:rsidRPr="00093D62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93D62">
        <w:rPr>
          <w:rFonts w:asciiTheme="minorHAnsi" w:hAnsiTheme="minorHAnsi" w:cstheme="minorHAnsi"/>
        </w:rPr>
        <w:t>Ejecución por consignación</w:t>
      </w:r>
    </w:p>
    <w:p w14:paraId="594BF813" w14:textId="77777777" w:rsidR="00B31483" w:rsidRPr="00093D62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93D62">
        <w:rPr>
          <w:rFonts w:asciiTheme="minorHAnsi" w:hAnsiTheme="minorHAnsi" w:cstheme="minorHAnsi"/>
        </w:rPr>
        <w:t>Precalificación</w:t>
      </w:r>
    </w:p>
    <w:p w14:paraId="5278D767" w14:textId="77777777" w:rsidR="00B31483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93D62">
        <w:rPr>
          <w:rFonts w:asciiTheme="minorHAnsi" w:hAnsiTheme="minorHAnsi" w:cstheme="minorHAnsi"/>
        </w:rPr>
        <w:t>Servicios</w:t>
      </w:r>
    </w:p>
    <w:p w14:paraId="00EC76D8" w14:textId="77777777" w:rsidR="00B31483" w:rsidRPr="00787386" w:rsidRDefault="00B31483" w:rsidP="00B3148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Contratación de Urgencia</w:t>
      </w:r>
    </w:p>
    <w:p w14:paraId="0A97E994" w14:textId="77777777" w:rsidR="00B31483" w:rsidRDefault="00B31483" w:rsidP="00B3148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099B2F4" wp14:editId="53733C57">
            <wp:extent cx="4276725" cy="1962736"/>
            <wp:effectExtent l="76200" t="76200" r="123825" b="133350"/>
            <wp:docPr id="1954518916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518916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8"/>
                    <a:srcRect l="10037" t="46674" r="47782" b="17311"/>
                    <a:stretch/>
                  </pic:blipFill>
                  <pic:spPr bwMode="auto">
                    <a:xfrm>
                      <a:off x="0" y="0"/>
                      <a:ext cx="4318277" cy="198180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89395" w14:textId="77777777" w:rsidR="00B31483" w:rsidRPr="00787386" w:rsidRDefault="00B31483" w:rsidP="00B31483">
      <w:pPr>
        <w:spacing w:line="276" w:lineRule="auto"/>
        <w:jc w:val="center"/>
        <w:rPr>
          <w:rFonts w:asciiTheme="minorHAnsi" w:hAnsiTheme="minorHAnsi" w:cstheme="minorHAnsi"/>
        </w:rPr>
      </w:pPr>
    </w:p>
    <w:p w14:paraId="75727EAC" w14:textId="77777777" w:rsidR="00B31483" w:rsidRPr="00D2060D" w:rsidRDefault="00B31483" w:rsidP="00B31483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2060D">
        <w:rPr>
          <w:rFonts w:asciiTheme="minorHAnsi" w:hAnsiTheme="minorHAnsi" w:cstheme="minorHAnsi"/>
          <w:b/>
          <w:bCs/>
        </w:rPr>
        <w:t>PE</w:t>
      </w:r>
      <w:r w:rsidRPr="00D2060D">
        <w:rPr>
          <w:rFonts w:asciiTheme="minorHAnsi" w:hAnsiTheme="minorHAnsi" w:cstheme="minorHAnsi"/>
        </w:rPr>
        <w:t xml:space="preserve">: corresponde a los procedimientos </w:t>
      </w:r>
      <w:r w:rsidRPr="003206E4">
        <w:rPr>
          <w:rFonts w:asciiTheme="minorHAnsi" w:hAnsiTheme="minorHAnsi" w:cstheme="minorHAnsi"/>
          <w:b/>
          <w:bCs/>
        </w:rPr>
        <w:t>de suma urgencia</w:t>
      </w:r>
      <w:r>
        <w:rPr>
          <w:rFonts w:asciiTheme="minorHAnsi" w:hAnsiTheme="minorHAnsi" w:cstheme="minorHAnsi"/>
        </w:rPr>
        <w:t xml:space="preserve"> </w:t>
      </w:r>
      <w:r w:rsidRPr="00D2060D">
        <w:rPr>
          <w:rFonts w:asciiTheme="minorHAnsi" w:hAnsiTheme="minorHAnsi" w:cstheme="minorHAnsi"/>
        </w:rPr>
        <w:t xml:space="preserve">donde la Administración </w:t>
      </w:r>
      <w:r>
        <w:rPr>
          <w:rFonts w:asciiTheme="minorHAnsi" w:hAnsiTheme="minorHAnsi" w:cstheme="minorHAnsi"/>
        </w:rPr>
        <w:t>realizó</w:t>
      </w:r>
      <w:r w:rsidRPr="00D2060D">
        <w:rPr>
          <w:rFonts w:asciiTheme="minorHAnsi" w:hAnsiTheme="minorHAnsi" w:cstheme="minorHAnsi"/>
        </w:rPr>
        <w:t xml:space="preserve"> de forma previa </w:t>
      </w:r>
      <w:r>
        <w:rPr>
          <w:rFonts w:asciiTheme="minorHAnsi" w:hAnsiTheme="minorHAnsi" w:cstheme="minorHAnsi"/>
        </w:rPr>
        <w:t xml:space="preserve">y extrasistema </w:t>
      </w:r>
      <w:r w:rsidRPr="00D2060D">
        <w:rPr>
          <w:rFonts w:asciiTheme="minorHAnsi" w:hAnsiTheme="minorHAnsi" w:cstheme="minorHAnsi"/>
        </w:rPr>
        <w:t xml:space="preserve">la contratación y posteriormente </w:t>
      </w:r>
      <w:r>
        <w:rPr>
          <w:rFonts w:asciiTheme="minorHAnsi" w:hAnsiTheme="minorHAnsi" w:cstheme="minorHAnsi"/>
        </w:rPr>
        <w:t xml:space="preserve">debe </w:t>
      </w:r>
      <w:r w:rsidRPr="00D2060D">
        <w:rPr>
          <w:rFonts w:asciiTheme="minorHAnsi" w:hAnsiTheme="minorHAnsi" w:cstheme="minorHAnsi"/>
        </w:rPr>
        <w:t xml:space="preserve">registrar </w:t>
      </w:r>
      <w:r>
        <w:rPr>
          <w:rFonts w:asciiTheme="minorHAnsi" w:hAnsiTheme="minorHAnsi" w:cstheme="minorHAnsi"/>
        </w:rPr>
        <w:t>el expediente</w:t>
      </w:r>
      <w:r w:rsidRPr="00D2060D">
        <w:rPr>
          <w:rFonts w:asciiTheme="minorHAnsi" w:hAnsiTheme="minorHAnsi" w:cstheme="minorHAnsi"/>
        </w:rPr>
        <w:t xml:space="preserve"> en SICOP.</w:t>
      </w:r>
    </w:p>
    <w:p w14:paraId="4472963E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Únicamente en estos casos, al momento de confeccionar en </w:t>
      </w:r>
      <w:r w:rsidRPr="002A31C9">
        <w:rPr>
          <w:rFonts w:asciiTheme="minorHAnsi" w:hAnsiTheme="minorHAnsi" w:cstheme="minorHAnsi"/>
          <w:sz w:val="22"/>
          <w:szCs w:val="22"/>
        </w:rPr>
        <w:t>SICOP la Solicitud de Contratación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B36B2">
        <w:rPr>
          <w:rFonts w:asciiTheme="minorHAnsi" w:hAnsiTheme="minorHAnsi" w:cstheme="minorHAnsi"/>
          <w:sz w:val="22"/>
          <w:szCs w:val="22"/>
        </w:rPr>
        <w:t>en el apartado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2F85">
        <w:rPr>
          <w:rFonts w:asciiTheme="minorHAnsi" w:hAnsiTheme="minorHAnsi" w:cstheme="minorHAnsi"/>
          <w:sz w:val="22"/>
          <w:szCs w:val="22"/>
        </w:rPr>
        <w:t>2. Información de la contratación</w:t>
      </w:r>
      <w:r w:rsidRPr="00FB36B2">
        <w:rPr>
          <w:rFonts w:asciiTheme="minorHAnsi" w:hAnsiTheme="minorHAnsi" w:cstheme="minorHAnsi"/>
          <w:sz w:val="22"/>
          <w:szCs w:val="22"/>
        </w:rPr>
        <w:t xml:space="preserve"> se debe seleccionar “Procedimientos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B36B2">
        <w:rPr>
          <w:rFonts w:asciiTheme="minorHAnsi" w:hAnsiTheme="minorHAnsi" w:cstheme="minorHAnsi"/>
          <w:sz w:val="22"/>
          <w:szCs w:val="22"/>
        </w:rPr>
        <w:t>speciales” y en el tipo de modalidad se elige “</w:t>
      </w:r>
      <w:r w:rsidRPr="00093D62">
        <w:rPr>
          <w:rFonts w:asciiTheme="minorHAnsi" w:hAnsiTheme="minorHAnsi" w:cstheme="minorHAnsi"/>
          <w:b/>
          <w:bCs/>
          <w:sz w:val="22"/>
          <w:szCs w:val="22"/>
        </w:rPr>
        <w:t>Contratación fuera de sistema</w:t>
      </w:r>
      <w:r w:rsidRPr="00FB36B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y se procede con la inclusión de la información de la contratación según corresponda para estos casos. </w:t>
      </w:r>
    </w:p>
    <w:p w14:paraId="7AFA989E" w14:textId="77777777" w:rsidR="00B31483" w:rsidRDefault="00B31483" w:rsidP="00B314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6DEBFA2" wp14:editId="2A6A5E27">
            <wp:extent cx="4424045" cy="2096032"/>
            <wp:effectExtent l="76200" t="76200" r="128905" b="133350"/>
            <wp:docPr id="1484709200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709200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9"/>
                    <a:srcRect l="10194" t="46988" r="48024" b="16183"/>
                    <a:stretch/>
                  </pic:blipFill>
                  <pic:spPr bwMode="auto">
                    <a:xfrm>
                      <a:off x="0" y="0"/>
                      <a:ext cx="4426788" cy="209733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DEC44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DEB1B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sz w:val="22"/>
          <w:szCs w:val="22"/>
        </w:rPr>
        <w:t xml:space="preserve">Respecto al trámite de las Licitaciones ordinarias correspondientes a la Licitación Reducida, Menor y Mayor, se reiteran los </w:t>
      </w:r>
      <w:r>
        <w:rPr>
          <w:rFonts w:asciiTheme="minorHAnsi" w:hAnsiTheme="minorHAnsi" w:cstheme="minorHAnsi"/>
          <w:sz w:val="22"/>
          <w:szCs w:val="22"/>
          <w:lang w:val="es-CR"/>
        </w:rPr>
        <w:t>umbrales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 generales de </w:t>
      </w:r>
      <w:r>
        <w:rPr>
          <w:rFonts w:asciiTheme="minorHAnsi" w:hAnsiTheme="minorHAnsi" w:cstheme="minorHAnsi"/>
          <w:sz w:val="22"/>
          <w:szCs w:val="22"/>
          <w:lang w:val="es-CR"/>
        </w:rPr>
        <w:t>C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ontratación Pública que definen el tipo de procedimiento bajo el cual se debe tramitar la adquisición de bienes y servicios institucionales</w:t>
      </w:r>
      <w:r>
        <w:rPr>
          <w:rFonts w:asciiTheme="minorHAnsi" w:hAnsiTheme="minorHAnsi" w:cstheme="minorHAnsi"/>
          <w:sz w:val="22"/>
          <w:szCs w:val="22"/>
          <w:lang w:val="es-CR"/>
        </w:rPr>
        <w:t xml:space="preserve"> comunicados en Circular 15-2023 “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Nuevos límites de Contratación Administrativa para el año 202</w:t>
      </w:r>
      <w:r>
        <w:rPr>
          <w:rFonts w:asciiTheme="minorHAnsi" w:hAnsiTheme="minorHAnsi" w:cstheme="minorHAnsi"/>
          <w:sz w:val="22"/>
          <w:szCs w:val="22"/>
          <w:lang w:val="es-CR"/>
        </w:rPr>
        <w:t xml:space="preserve">3, fechas de cierre para recibir gestiones 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y cambios en la Estructura del Proceso de Adquisiciones</w:t>
      </w:r>
      <w:r>
        <w:rPr>
          <w:rFonts w:asciiTheme="minorHAnsi" w:hAnsiTheme="minorHAnsi" w:cstheme="minorHAnsi"/>
          <w:sz w:val="22"/>
          <w:szCs w:val="22"/>
          <w:lang w:val="es-CR"/>
        </w:rPr>
        <w:t>”:</w:t>
      </w:r>
    </w:p>
    <w:p w14:paraId="0DD15523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tbl>
      <w:tblPr>
        <w:tblW w:w="8427" w:type="dxa"/>
        <w:jc w:val="center"/>
        <w:tblLook w:val="04A0" w:firstRow="1" w:lastRow="0" w:firstColumn="1" w:lastColumn="0" w:noHBand="0" w:noVBand="1"/>
      </w:tblPr>
      <w:tblGrid>
        <w:gridCol w:w="1100"/>
        <w:gridCol w:w="1526"/>
        <w:gridCol w:w="1862"/>
        <w:gridCol w:w="1187"/>
        <w:gridCol w:w="1371"/>
        <w:gridCol w:w="1381"/>
      </w:tblGrid>
      <w:tr w:rsidR="00B31483" w:rsidRPr="00EA1E1E" w14:paraId="692F0127" w14:textId="77777777" w:rsidTr="000926CC">
        <w:trPr>
          <w:trHeight w:val="180"/>
          <w:jc w:val="center"/>
        </w:trPr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32BBC987" w14:textId="77777777" w:rsidR="00B31483" w:rsidRPr="00EA1E1E" w:rsidRDefault="00B31483" w:rsidP="000926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CR"/>
              </w:rPr>
              <w:t>Umbrales año 2023 (montos en colones)</w:t>
            </w:r>
          </w:p>
        </w:tc>
      </w:tr>
      <w:tr w:rsidR="00B31483" w:rsidRPr="00EA1E1E" w14:paraId="48556225" w14:textId="77777777" w:rsidTr="000926CC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17"/>
          <w:jc w:val="center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24" w:type="dxa"/>
              <w:bottom w:w="160" w:type="dxa"/>
              <w:right w:w="24" w:type="dxa"/>
            </w:tcMar>
            <w:vAlign w:val="center"/>
            <w:hideMark/>
          </w:tcPr>
          <w:p w14:paraId="4B4C2F73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Régimen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24" w:type="dxa"/>
              <w:bottom w:w="160" w:type="dxa"/>
              <w:right w:w="24" w:type="dxa"/>
            </w:tcMar>
            <w:vAlign w:val="center"/>
            <w:hideMark/>
          </w:tcPr>
          <w:p w14:paraId="44C53966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Tipo de</w:t>
            </w:r>
          </w:p>
          <w:p w14:paraId="5D37EA1A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contratación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24" w:type="dxa"/>
              <w:bottom w:w="160" w:type="dxa"/>
              <w:right w:w="24" w:type="dxa"/>
            </w:tcMar>
            <w:vAlign w:val="center"/>
            <w:hideMark/>
          </w:tcPr>
          <w:p w14:paraId="451CBE70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Licitación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Mayor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24" w:type="dxa"/>
              <w:bottom w:w="160" w:type="dxa"/>
              <w:right w:w="24" w:type="dxa"/>
            </w:tcMar>
            <w:vAlign w:val="center"/>
            <w:hideMark/>
          </w:tcPr>
          <w:p w14:paraId="7AC2A41A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Licitación Menor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0" w:type="dxa"/>
              <w:left w:w="24" w:type="dxa"/>
              <w:bottom w:w="160" w:type="dxa"/>
              <w:right w:w="24" w:type="dxa"/>
            </w:tcMar>
            <w:vAlign w:val="center"/>
            <w:hideMark/>
          </w:tcPr>
          <w:p w14:paraId="181E7C59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Licitación</w:t>
            </w:r>
          </w:p>
          <w:p w14:paraId="64952265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reducida</w:t>
            </w:r>
          </w:p>
        </w:tc>
      </w:tr>
      <w:tr w:rsidR="00B31483" w:rsidRPr="00EA1E1E" w14:paraId="6CAF5377" w14:textId="77777777" w:rsidTr="000926CC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10"/>
          <w:jc w:val="center"/>
        </w:trPr>
        <w:tc>
          <w:tcPr>
            <w:tcW w:w="26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0EA2FD09" w14:textId="77777777" w:rsidR="00B31483" w:rsidRPr="00EA1E1E" w:rsidRDefault="00B31483" w:rsidP="000926C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1DD202B6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Igual a o más 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1CBEBBB0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Menos 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5C3311EC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Igual 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o más de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2E437369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R" w:eastAsia="es-CR"/>
              </w:rPr>
              <w:t>Menos de</w:t>
            </w:r>
          </w:p>
        </w:tc>
      </w:tr>
      <w:tr w:rsidR="00B31483" w:rsidRPr="00EA1E1E" w14:paraId="2AA76F40" w14:textId="77777777" w:rsidTr="000926CC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354"/>
          <w:jc w:val="center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1D21F1A5" w14:textId="77777777" w:rsidR="00B31483" w:rsidRPr="00EA1E1E" w:rsidRDefault="00B31483" w:rsidP="000926CC">
            <w:pPr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Ordinario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3A4012B2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Bienes y Servicios</w:t>
            </w:r>
          </w:p>
          <w:p w14:paraId="471A02A4" w14:textId="77777777" w:rsidR="00B31483" w:rsidRPr="00EA1E1E" w:rsidRDefault="00B31483" w:rsidP="000926CC">
            <w:pPr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4BE42E76" w14:textId="77777777" w:rsidR="00B31483" w:rsidRPr="00EA1E1E" w:rsidRDefault="00B31483" w:rsidP="000926CC">
            <w:pPr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Obras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0BD73964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¢264.519.083</w:t>
            </w:r>
          </w:p>
          <w:p w14:paraId="5AC1609B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47A40BC0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¢712.166.540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7B639EBC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¢264.519.083</w:t>
            </w:r>
          </w:p>
          <w:p w14:paraId="37CD9845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65576036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¢712.166.540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6412ECF4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¢66.129.771</w:t>
            </w:r>
          </w:p>
          <w:p w14:paraId="451937B7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737B309C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¢178.041.690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14:paraId="5804B54D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¢66.129.771</w:t>
            </w:r>
          </w:p>
          <w:p w14:paraId="47AC22B7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31BC94DB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¢178.041.690</w:t>
            </w:r>
          </w:p>
        </w:tc>
      </w:tr>
      <w:tr w:rsidR="00B31483" w:rsidRPr="00EA1E1E" w14:paraId="0E82DDC9" w14:textId="77777777" w:rsidTr="000926CC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17"/>
          <w:jc w:val="center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4" w:type="dxa"/>
              <w:bottom w:w="100" w:type="dxa"/>
              <w:right w:w="24" w:type="dxa"/>
            </w:tcMar>
            <w:vAlign w:val="center"/>
            <w:hideMark/>
          </w:tcPr>
          <w:p w14:paraId="7463ADFB" w14:textId="77777777" w:rsidR="00B31483" w:rsidRPr="00EA1E1E" w:rsidRDefault="00B31483" w:rsidP="000926CC">
            <w:pPr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Diferenciado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4" w:type="dxa"/>
              <w:bottom w:w="100" w:type="dxa"/>
              <w:right w:w="24" w:type="dxa"/>
            </w:tcMar>
            <w:vAlign w:val="center"/>
            <w:hideMark/>
          </w:tcPr>
          <w:p w14:paraId="2F167E2E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Bienes y Servicios</w:t>
            </w:r>
          </w:p>
          <w:p w14:paraId="0CF37844" w14:textId="77777777" w:rsidR="00B31483" w:rsidRPr="00EA1E1E" w:rsidRDefault="00B31483" w:rsidP="000926CC">
            <w:pPr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73597C1A" w14:textId="77777777" w:rsidR="00B31483" w:rsidRPr="00EA1E1E" w:rsidRDefault="00B31483" w:rsidP="000926CC">
            <w:pPr>
              <w:spacing w:line="276" w:lineRule="auto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Obras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4" w:type="dxa"/>
              <w:bottom w:w="100" w:type="dxa"/>
              <w:right w:w="24" w:type="dxa"/>
            </w:tcMar>
            <w:vAlign w:val="center"/>
            <w:hideMark/>
          </w:tcPr>
          <w:p w14:paraId="4AFAE283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¢317.422.900</w:t>
            </w:r>
          </w:p>
          <w:p w14:paraId="15D0992E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7E91282A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¢1.139.466.819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4" w:type="dxa"/>
              <w:bottom w:w="100" w:type="dxa"/>
              <w:right w:w="24" w:type="dxa"/>
            </w:tcMar>
            <w:vAlign w:val="center"/>
            <w:hideMark/>
          </w:tcPr>
          <w:p w14:paraId="21BEC4C7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¢317.422.900</w:t>
            </w:r>
          </w:p>
          <w:p w14:paraId="2E8FC0F7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5BEA7FD2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¢1.139.466.819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4" w:type="dxa"/>
              <w:bottom w:w="100" w:type="dxa"/>
              <w:right w:w="24" w:type="dxa"/>
            </w:tcMar>
            <w:vAlign w:val="center"/>
            <w:hideMark/>
          </w:tcPr>
          <w:p w14:paraId="4E368F0D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¢79.355.725</w:t>
            </w:r>
          </w:p>
          <w:p w14:paraId="1E1AD7EA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06D9FEF5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¢284.866.705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4" w:type="dxa"/>
              <w:bottom w:w="100" w:type="dxa"/>
              <w:right w:w="24" w:type="dxa"/>
            </w:tcMar>
            <w:vAlign w:val="center"/>
            <w:hideMark/>
          </w:tcPr>
          <w:p w14:paraId="7416B366" w14:textId="77777777" w:rsidR="00B31483" w:rsidRPr="00EA1E1E" w:rsidRDefault="00B31483" w:rsidP="000926CC">
            <w:pPr>
              <w:shd w:val="clear" w:color="auto" w:fill="D9E2F3" w:themeFill="accent1" w:themeFillTint="33"/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¢79.355.725</w:t>
            </w:r>
          </w:p>
          <w:p w14:paraId="25ED4B50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</w:p>
          <w:p w14:paraId="1B6F0E43" w14:textId="77777777" w:rsidR="00B31483" w:rsidRPr="00EA1E1E" w:rsidRDefault="00B31483" w:rsidP="000926CC">
            <w:pPr>
              <w:spacing w:line="276" w:lineRule="auto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</w:pPr>
            <w:r w:rsidRPr="00EA1E1E">
              <w:rPr>
                <w:rFonts w:asciiTheme="minorHAnsi" w:hAnsiTheme="minorHAnsi" w:cstheme="minorHAnsi"/>
                <w:sz w:val="18"/>
                <w:szCs w:val="18"/>
                <w:lang w:val="es-CR" w:eastAsia="es-CR"/>
              </w:rPr>
              <w:t>¢284.866.705</w:t>
            </w:r>
          </w:p>
        </w:tc>
      </w:tr>
    </w:tbl>
    <w:p w14:paraId="4D831966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39722C6E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lo anterior, en adelante se les solicita tener especial cuidado al momento de definir y seleccionar la clasificación correcta para cada tipo de procedimiento que se asigne, considerando para ello las indicaciones establecidas en la presente circular.  </w:t>
      </w:r>
    </w:p>
    <w:p w14:paraId="6C1F51A6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088C3768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06364C0E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6C105C32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4AADE353" w14:textId="77777777" w:rsidR="00B31483" w:rsidRDefault="00B31483" w:rsidP="00B31483">
      <w:pPr>
        <w:spacing w:line="276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0BF6B60E" w14:textId="77777777" w:rsidR="00B31483" w:rsidRPr="00A27E15" w:rsidRDefault="00B31483" w:rsidP="00B314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432C">
        <w:rPr>
          <w:rFonts w:asciiTheme="minorHAnsi" w:hAnsiTheme="minorHAnsi" w:cstheme="minorHAnsi"/>
          <w:b/>
          <w:bCs/>
          <w:sz w:val="14"/>
          <w:szCs w:val="14"/>
        </w:rPr>
        <w:t xml:space="preserve">AMA/YAA </w:t>
      </w:r>
    </w:p>
    <w:p w14:paraId="37808FD6" w14:textId="4D53850A" w:rsidR="00BD2FBA" w:rsidRPr="00A27E15" w:rsidRDefault="00BD2FBA" w:rsidP="00B314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D2FBA" w:rsidRPr="00A27E15" w:rsidSect="006D37D9">
      <w:headerReference w:type="default" r:id="rId10"/>
      <w:footerReference w:type="default" r:id="rId11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72E7" w14:textId="77777777" w:rsidR="004512B4" w:rsidRDefault="004512B4">
      <w:r>
        <w:separator/>
      </w:r>
    </w:p>
  </w:endnote>
  <w:endnote w:type="continuationSeparator" w:id="0">
    <w:p w14:paraId="66A3AA84" w14:textId="77777777" w:rsidR="004512B4" w:rsidRDefault="004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Arial-683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B70A" w14:textId="77777777" w:rsidR="004512B4" w:rsidRDefault="004512B4">
      <w:r>
        <w:separator/>
      </w:r>
    </w:p>
  </w:footnote>
  <w:footnote w:type="continuationSeparator" w:id="0">
    <w:p w14:paraId="7B3F87B8" w14:textId="77777777" w:rsidR="004512B4" w:rsidRDefault="0045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1.35pt;height:128.8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660EF"/>
    <w:multiLevelType w:val="hybridMultilevel"/>
    <w:tmpl w:val="0A500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010AAA"/>
    <w:multiLevelType w:val="hybridMultilevel"/>
    <w:tmpl w:val="458C9D12"/>
    <w:lvl w:ilvl="0" w:tplc="A68CB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CA605CFE">
      <w:start w:val="1"/>
      <w:numFmt w:val="decimal"/>
      <w:lvlText w:val="b.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2FF1"/>
    <w:multiLevelType w:val="hybridMultilevel"/>
    <w:tmpl w:val="C2EA1AD4"/>
    <w:lvl w:ilvl="0" w:tplc="F6B419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3F62"/>
    <w:multiLevelType w:val="hybridMultilevel"/>
    <w:tmpl w:val="72464C2C"/>
    <w:lvl w:ilvl="0" w:tplc="C5A4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44C9"/>
    <w:multiLevelType w:val="hybridMultilevel"/>
    <w:tmpl w:val="3F10ADF4"/>
    <w:lvl w:ilvl="0" w:tplc="1F5216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7078"/>
    <w:multiLevelType w:val="hybridMultilevel"/>
    <w:tmpl w:val="56D46E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52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2DBF"/>
    <w:multiLevelType w:val="hybridMultilevel"/>
    <w:tmpl w:val="EB0A5FA0"/>
    <w:lvl w:ilvl="0" w:tplc="A68CB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5AEC"/>
    <w:multiLevelType w:val="hybridMultilevel"/>
    <w:tmpl w:val="A5A88A3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2816"/>
    <w:multiLevelType w:val="hybridMultilevel"/>
    <w:tmpl w:val="0B32D0B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99016">
    <w:abstractNumId w:val="0"/>
  </w:num>
  <w:num w:numId="2" w16cid:durableId="1520653705">
    <w:abstractNumId w:val="16"/>
  </w:num>
  <w:num w:numId="3" w16cid:durableId="361519651">
    <w:abstractNumId w:val="11"/>
  </w:num>
  <w:num w:numId="4" w16cid:durableId="288124686">
    <w:abstractNumId w:val="13"/>
  </w:num>
  <w:num w:numId="5" w16cid:durableId="17395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40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537526">
    <w:abstractNumId w:val="19"/>
  </w:num>
  <w:num w:numId="8" w16cid:durableId="498078289">
    <w:abstractNumId w:val="15"/>
  </w:num>
  <w:num w:numId="9" w16cid:durableId="1052658598">
    <w:abstractNumId w:val="7"/>
  </w:num>
  <w:num w:numId="10" w16cid:durableId="513689626">
    <w:abstractNumId w:val="17"/>
  </w:num>
  <w:num w:numId="11" w16cid:durableId="736784066">
    <w:abstractNumId w:val="14"/>
  </w:num>
  <w:num w:numId="12" w16cid:durableId="930965961">
    <w:abstractNumId w:val="1"/>
  </w:num>
  <w:num w:numId="13" w16cid:durableId="1230387685">
    <w:abstractNumId w:val="3"/>
  </w:num>
  <w:num w:numId="14" w16cid:durableId="1391149502">
    <w:abstractNumId w:val="10"/>
  </w:num>
  <w:num w:numId="15" w16cid:durableId="1114788931">
    <w:abstractNumId w:val="5"/>
  </w:num>
  <w:num w:numId="16" w16cid:durableId="32000971">
    <w:abstractNumId w:val="9"/>
  </w:num>
  <w:num w:numId="17" w16cid:durableId="1072194963">
    <w:abstractNumId w:val="18"/>
  </w:num>
  <w:num w:numId="18" w16cid:durableId="1786773687">
    <w:abstractNumId w:val="8"/>
  </w:num>
  <w:num w:numId="19" w16cid:durableId="1872304076">
    <w:abstractNumId w:val="6"/>
  </w:num>
  <w:num w:numId="20" w16cid:durableId="1608779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9D"/>
    <w:rsid w:val="00007D90"/>
    <w:rsid w:val="000164B1"/>
    <w:rsid w:val="0001692E"/>
    <w:rsid w:val="0002410A"/>
    <w:rsid w:val="00026E11"/>
    <w:rsid w:val="000341C4"/>
    <w:rsid w:val="000559B0"/>
    <w:rsid w:val="000625CC"/>
    <w:rsid w:val="0007367B"/>
    <w:rsid w:val="00073C9D"/>
    <w:rsid w:val="00077E25"/>
    <w:rsid w:val="000846FA"/>
    <w:rsid w:val="00084BF0"/>
    <w:rsid w:val="00085635"/>
    <w:rsid w:val="00091081"/>
    <w:rsid w:val="00091F6E"/>
    <w:rsid w:val="00092C56"/>
    <w:rsid w:val="00093D62"/>
    <w:rsid w:val="000A1962"/>
    <w:rsid w:val="000A1E71"/>
    <w:rsid w:val="000B36C9"/>
    <w:rsid w:val="000B4F01"/>
    <w:rsid w:val="000C41EB"/>
    <w:rsid w:val="000C68AD"/>
    <w:rsid w:val="000C6F11"/>
    <w:rsid w:val="000D14E7"/>
    <w:rsid w:val="000D17BD"/>
    <w:rsid w:val="000D1DA4"/>
    <w:rsid w:val="000D3588"/>
    <w:rsid w:val="000D3C9F"/>
    <w:rsid w:val="000E5CAB"/>
    <w:rsid w:val="000E790F"/>
    <w:rsid w:val="000F4E46"/>
    <w:rsid w:val="000F62B0"/>
    <w:rsid w:val="00100A42"/>
    <w:rsid w:val="001023D5"/>
    <w:rsid w:val="001065FC"/>
    <w:rsid w:val="00113243"/>
    <w:rsid w:val="001137D2"/>
    <w:rsid w:val="00114D15"/>
    <w:rsid w:val="00114D61"/>
    <w:rsid w:val="001221D8"/>
    <w:rsid w:val="00122BA6"/>
    <w:rsid w:val="001234E6"/>
    <w:rsid w:val="0012647E"/>
    <w:rsid w:val="001318E9"/>
    <w:rsid w:val="00132E6B"/>
    <w:rsid w:val="00135295"/>
    <w:rsid w:val="00135FFA"/>
    <w:rsid w:val="001361C4"/>
    <w:rsid w:val="001378C7"/>
    <w:rsid w:val="00137EC7"/>
    <w:rsid w:val="00142493"/>
    <w:rsid w:val="00142857"/>
    <w:rsid w:val="00143172"/>
    <w:rsid w:val="0015191A"/>
    <w:rsid w:val="00152F11"/>
    <w:rsid w:val="00167FB1"/>
    <w:rsid w:val="00170224"/>
    <w:rsid w:val="00171EA1"/>
    <w:rsid w:val="001761E4"/>
    <w:rsid w:val="001866BD"/>
    <w:rsid w:val="00191977"/>
    <w:rsid w:val="00191BA2"/>
    <w:rsid w:val="001A02BA"/>
    <w:rsid w:val="001A0BB4"/>
    <w:rsid w:val="001A53B4"/>
    <w:rsid w:val="001B0971"/>
    <w:rsid w:val="001C7286"/>
    <w:rsid w:val="001C7ED3"/>
    <w:rsid w:val="001D258B"/>
    <w:rsid w:val="001D2BCF"/>
    <w:rsid w:val="001D2CD7"/>
    <w:rsid w:val="001E24E3"/>
    <w:rsid w:val="001F1528"/>
    <w:rsid w:val="001F392A"/>
    <w:rsid w:val="001F67F9"/>
    <w:rsid w:val="00203B6A"/>
    <w:rsid w:val="0020684C"/>
    <w:rsid w:val="00206E49"/>
    <w:rsid w:val="0021172F"/>
    <w:rsid w:val="00211A22"/>
    <w:rsid w:val="00216B09"/>
    <w:rsid w:val="00216B74"/>
    <w:rsid w:val="00225153"/>
    <w:rsid w:val="00225B2E"/>
    <w:rsid w:val="00234E7F"/>
    <w:rsid w:val="002374C5"/>
    <w:rsid w:val="00237ABF"/>
    <w:rsid w:val="00245F94"/>
    <w:rsid w:val="00247B59"/>
    <w:rsid w:val="002525F9"/>
    <w:rsid w:val="002532D9"/>
    <w:rsid w:val="00257335"/>
    <w:rsid w:val="0025775A"/>
    <w:rsid w:val="00260D93"/>
    <w:rsid w:val="00262B32"/>
    <w:rsid w:val="00267604"/>
    <w:rsid w:val="00267D77"/>
    <w:rsid w:val="002732F5"/>
    <w:rsid w:val="00280CB0"/>
    <w:rsid w:val="00280E46"/>
    <w:rsid w:val="00285A8E"/>
    <w:rsid w:val="00291F22"/>
    <w:rsid w:val="00293EE0"/>
    <w:rsid w:val="002A00A5"/>
    <w:rsid w:val="002A31C9"/>
    <w:rsid w:val="002A4815"/>
    <w:rsid w:val="002B1872"/>
    <w:rsid w:val="002C147A"/>
    <w:rsid w:val="002C3C5D"/>
    <w:rsid w:val="002C52BB"/>
    <w:rsid w:val="002C5576"/>
    <w:rsid w:val="002D2CC7"/>
    <w:rsid w:val="002D2D04"/>
    <w:rsid w:val="002D6B46"/>
    <w:rsid w:val="002E00B2"/>
    <w:rsid w:val="002E2FE9"/>
    <w:rsid w:val="002E341C"/>
    <w:rsid w:val="002E52D8"/>
    <w:rsid w:val="002E6F87"/>
    <w:rsid w:val="002F0122"/>
    <w:rsid w:val="002F1093"/>
    <w:rsid w:val="002F1D9C"/>
    <w:rsid w:val="002F269A"/>
    <w:rsid w:val="002F66B7"/>
    <w:rsid w:val="00303AF8"/>
    <w:rsid w:val="00311786"/>
    <w:rsid w:val="00320418"/>
    <w:rsid w:val="003206E4"/>
    <w:rsid w:val="003229D2"/>
    <w:rsid w:val="0032592A"/>
    <w:rsid w:val="0033053A"/>
    <w:rsid w:val="0033292B"/>
    <w:rsid w:val="0033640B"/>
    <w:rsid w:val="003375F1"/>
    <w:rsid w:val="00343616"/>
    <w:rsid w:val="00343D64"/>
    <w:rsid w:val="0035379C"/>
    <w:rsid w:val="00354030"/>
    <w:rsid w:val="00354816"/>
    <w:rsid w:val="00355745"/>
    <w:rsid w:val="003600DE"/>
    <w:rsid w:val="0036089C"/>
    <w:rsid w:val="00370649"/>
    <w:rsid w:val="00381A88"/>
    <w:rsid w:val="00381B86"/>
    <w:rsid w:val="003854C5"/>
    <w:rsid w:val="003872F4"/>
    <w:rsid w:val="00387810"/>
    <w:rsid w:val="003A0788"/>
    <w:rsid w:val="003A1AD0"/>
    <w:rsid w:val="003A3281"/>
    <w:rsid w:val="003B0799"/>
    <w:rsid w:val="003C315D"/>
    <w:rsid w:val="003C78D5"/>
    <w:rsid w:val="003D0A3F"/>
    <w:rsid w:val="003D682A"/>
    <w:rsid w:val="003E0E54"/>
    <w:rsid w:val="003E0FB7"/>
    <w:rsid w:val="003E714F"/>
    <w:rsid w:val="003E7AAB"/>
    <w:rsid w:val="003F2288"/>
    <w:rsid w:val="003F42D2"/>
    <w:rsid w:val="003F6F08"/>
    <w:rsid w:val="004017FB"/>
    <w:rsid w:val="00404489"/>
    <w:rsid w:val="00411D79"/>
    <w:rsid w:val="00414179"/>
    <w:rsid w:val="0042116A"/>
    <w:rsid w:val="0042348E"/>
    <w:rsid w:val="0042794B"/>
    <w:rsid w:val="00433B3F"/>
    <w:rsid w:val="004348A3"/>
    <w:rsid w:val="00435130"/>
    <w:rsid w:val="004352B6"/>
    <w:rsid w:val="00443A61"/>
    <w:rsid w:val="00445B72"/>
    <w:rsid w:val="00450489"/>
    <w:rsid w:val="00450538"/>
    <w:rsid w:val="004512B4"/>
    <w:rsid w:val="00456D32"/>
    <w:rsid w:val="00463A50"/>
    <w:rsid w:val="00467844"/>
    <w:rsid w:val="00471EF3"/>
    <w:rsid w:val="00473AB3"/>
    <w:rsid w:val="00482018"/>
    <w:rsid w:val="0048432C"/>
    <w:rsid w:val="00490FCC"/>
    <w:rsid w:val="004956BF"/>
    <w:rsid w:val="0049705D"/>
    <w:rsid w:val="00497CF8"/>
    <w:rsid w:val="004A0564"/>
    <w:rsid w:val="004A4BE0"/>
    <w:rsid w:val="004A5D61"/>
    <w:rsid w:val="004A63F2"/>
    <w:rsid w:val="004A67CB"/>
    <w:rsid w:val="004A7FC7"/>
    <w:rsid w:val="004B1139"/>
    <w:rsid w:val="004B5245"/>
    <w:rsid w:val="004B597E"/>
    <w:rsid w:val="004C6640"/>
    <w:rsid w:val="004D1AA8"/>
    <w:rsid w:val="004D202F"/>
    <w:rsid w:val="004D2571"/>
    <w:rsid w:val="004E01BC"/>
    <w:rsid w:val="004E1EC2"/>
    <w:rsid w:val="004E7E65"/>
    <w:rsid w:val="004F0BBC"/>
    <w:rsid w:val="004F47C1"/>
    <w:rsid w:val="004F603F"/>
    <w:rsid w:val="00500070"/>
    <w:rsid w:val="0050466F"/>
    <w:rsid w:val="00505F9A"/>
    <w:rsid w:val="00506A3A"/>
    <w:rsid w:val="00515823"/>
    <w:rsid w:val="00535FEA"/>
    <w:rsid w:val="005368C2"/>
    <w:rsid w:val="00537602"/>
    <w:rsid w:val="00541428"/>
    <w:rsid w:val="00541800"/>
    <w:rsid w:val="005510A0"/>
    <w:rsid w:val="00551A53"/>
    <w:rsid w:val="00553D38"/>
    <w:rsid w:val="00556DBC"/>
    <w:rsid w:val="00564401"/>
    <w:rsid w:val="00575D96"/>
    <w:rsid w:val="005874C5"/>
    <w:rsid w:val="0059052E"/>
    <w:rsid w:val="005916C3"/>
    <w:rsid w:val="00593F6D"/>
    <w:rsid w:val="005A1034"/>
    <w:rsid w:val="005A13F2"/>
    <w:rsid w:val="005A6139"/>
    <w:rsid w:val="005B1F2C"/>
    <w:rsid w:val="005B632B"/>
    <w:rsid w:val="005B6E29"/>
    <w:rsid w:val="005C10FF"/>
    <w:rsid w:val="005C4EB6"/>
    <w:rsid w:val="005C63D9"/>
    <w:rsid w:val="005D20F1"/>
    <w:rsid w:val="005D5D0D"/>
    <w:rsid w:val="005D6FD7"/>
    <w:rsid w:val="005E2A26"/>
    <w:rsid w:val="005E2B69"/>
    <w:rsid w:val="005F2C32"/>
    <w:rsid w:val="005F3CBF"/>
    <w:rsid w:val="005F7F62"/>
    <w:rsid w:val="00603D02"/>
    <w:rsid w:val="006044C4"/>
    <w:rsid w:val="00615FB9"/>
    <w:rsid w:val="00616EF5"/>
    <w:rsid w:val="00617CAB"/>
    <w:rsid w:val="00627EEC"/>
    <w:rsid w:val="00630012"/>
    <w:rsid w:val="00635ADB"/>
    <w:rsid w:val="00647646"/>
    <w:rsid w:val="00652F9D"/>
    <w:rsid w:val="00654E3E"/>
    <w:rsid w:val="0065544B"/>
    <w:rsid w:val="00655658"/>
    <w:rsid w:val="006560B3"/>
    <w:rsid w:val="00656D58"/>
    <w:rsid w:val="00656DC3"/>
    <w:rsid w:val="0066013C"/>
    <w:rsid w:val="00660E61"/>
    <w:rsid w:val="00676A14"/>
    <w:rsid w:val="006815F6"/>
    <w:rsid w:val="00683C6F"/>
    <w:rsid w:val="006852FF"/>
    <w:rsid w:val="00693C7F"/>
    <w:rsid w:val="00694716"/>
    <w:rsid w:val="006961F8"/>
    <w:rsid w:val="00697652"/>
    <w:rsid w:val="006A241E"/>
    <w:rsid w:val="006B0BFA"/>
    <w:rsid w:val="006B2E1A"/>
    <w:rsid w:val="006B76BF"/>
    <w:rsid w:val="006C2351"/>
    <w:rsid w:val="006C458C"/>
    <w:rsid w:val="006C6B22"/>
    <w:rsid w:val="006D3769"/>
    <w:rsid w:val="006D37D9"/>
    <w:rsid w:val="006E033C"/>
    <w:rsid w:val="006E0F2B"/>
    <w:rsid w:val="006E1579"/>
    <w:rsid w:val="006E6CF3"/>
    <w:rsid w:val="006F03BA"/>
    <w:rsid w:val="006F0984"/>
    <w:rsid w:val="006F2EBE"/>
    <w:rsid w:val="006F3E98"/>
    <w:rsid w:val="00700AC7"/>
    <w:rsid w:val="00702674"/>
    <w:rsid w:val="0070315A"/>
    <w:rsid w:val="0070740A"/>
    <w:rsid w:val="00707934"/>
    <w:rsid w:val="0071037F"/>
    <w:rsid w:val="00713282"/>
    <w:rsid w:val="007147A4"/>
    <w:rsid w:val="00721313"/>
    <w:rsid w:val="00724349"/>
    <w:rsid w:val="00727CA2"/>
    <w:rsid w:val="00730BAB"/>
    <w:rsid w:val="00730FEC"/>
    <w:rsid w:val="007325EE"/>
    <w:rsid w:val="007349EC"/>
    <w:rsid w:val="00740E0F"/>
    <w:rsid w:val="007421A8"/>
    <w:rsid w:val="00743867"/>
    <w:rsid w:val="00743A7F"/>
    <w:rsid w:val="0074502D"/>
    <w:rsid w:val="00746441"/>
    <w:rsid w:val="00746AE9"/>
    <w:rsid w:val="0075274B"/>
    <w:rsid w:val="00760A59"/>
    <w:rsid w:val="00761C08"/>
    <w:rsid w:val="00762023"/>
    <w:rsid w:val="00765BB5"/>
    <w:rsid w:val="007670BA"/>
    <w:rsid w:val="00770CFA"/>
    <w:rsid w:val="00780087"/>
    <w:rsid w:val="00780625"/>
    <w:rsid w:val="00780E5E"/>
    <w:rsid w:val="0078528B"/>
    <w:rsid w:val="007852B8"/>
    <w:rsid w:val="00786EC1"/>
    <w:rsid w:val="00787386"/>
    <w:rsid w:val="00791112"/>
    <w:rsid w:val="007945F1"/>
    <w:rsid w:val="0079486D"/>
    <w:rsid w:val="007A683E"/>
    <w:rsid w:val="007B2922"/>
    <w:rsid w:val="007B3103"/>
    <w:rsid w:val="007B3324"/>
    <w:rsid w:val="007C27BA"/>
    <w:rsid w:val="007C3BA6"/>
    <w:rsid w:val="007D1C30"/>
    <w:rsid w:val="007D4222"/>
    <w:rsid w:val="007D7846"/>
    <w:rsid w:val="007E05EA"/>
    <w:rsid w:val="007E2C4A"/>
    <w:rsid w:val="007E5D3A"/>
    <w:rsid w:val="007F2CDC"/>
    <w:rsid w:val="007F5453"/>
    <w:rsid w:val="007F6F31"/>
    <w:rsid w:val="00805472"/>
    <w:rsid w:val="00806713"/>
    <w:rsid w:val="00806B02"/>
    <w:rsid w:val="00811CCA"/>
    <w:rsid w:val="008127CA"/>
    <w:rsid w:val="00821A70"/>
    <w:rsid w:val="00822D1E"/>
    <w:rsid w:val="008250E8"/>
    <w:rsid w:val="008357BE"/>
    <w:rsid w:val="00841224"/>
    <w:rsid w:val="00851FB3"/>
    <w:rsid w:val="00855461"/>
    <w:rsid w:val="00855D39"/>
    <w:rsid w:val="00860546"/>
    <w:rsid w:val="008608FE"/>
    <w:rsid w:val="00860DC2"/>
    <w:rsid w:val="00866158"/>
    <w:rsid w:val="00876B28"/>
    <w:rsid w:val="00877557"/>
    <w:rsid w:val="00877FF3"/>
    <w:rsid w:val="00883F82"/>
    <w:rsid w:val="008843FD"/>
    <w:rsid w:val="00890F9D"/>
    <w:rsid w:val="00895C40"/>
    <w:rsid w:val="008A0C54"/>
    <w:rsid w:val="008A21C9"/>
    <w:rsid w:val="008A221C"/>
    <w:rsid w:val="008B66BC"/>
    <w:rsid w:val="008C1D19"/>
    <w:rsid w:val="008C21EB"/>
    <w:rsid w:val="008C423D"/>
    <w:rsid w:val="008D7011"/>
    <w:rsid w:val="008D7108"/>
    <w:rsid w:val="008E28EA"/>
    <w:rsid w:val="008E3D4F"/>
    <w:rsid w:val="008E758C"/>
    <w:rsid w:val="008F2A44"/>
    <w:rsid w:val="008F364E"/>
    <w:rsid w:val="008F4B40"/>
    <w:rsid w:val="008F769E"/>
    <w:rsid w:val="00900BB2"/>
    <w:rsid w:val="00902960"/>
    <w:rsid w:val="009037A0"/>
    <w:rsid w:val="009042FC"/>
    <w:rsid w:val="00905EA9"/>
    <w:rsid w:val="00910C11"/>
    <w:rsid w:val="00911C09"/>
    <w:rsid w:val="009132BC"/>
    <w:rsid w:val="0091632E"/>
    <w:rsid w:val="00916507"/>
    <w:rsid w:val="0091738E"/>
    <w:rsid w:val="009268D7"/>
    <w:rsid w:val="009317D1"/>
    <w:rsid w:val="009318F8"/>
    <w:rsid w:val="00932D86"/>
    <w:rsid w:val="009354CD"/>
    <w:rsid w:val="00935CD9"/>
    <w:rsid w:val="00940ED1"/>
    <w:rsid w:val="00942ADF"/>
    <w:rsid w:val="00950781"/>
    <w:rsid w:val="00956879"/>
    <w:rsid w:val="00956E93"/>
    <w:rsid w:val="00957174"/>
    <w:rsid w:val="00960F6D"/>
    <w:rsid w:val="00961315"/>
    <w:rsid w:val="00963E3B"/>
    <w:rsid w:val="00966D6E"/>
    <w:rsid w:val="00974601"/>
    <w:rsid w:val="009760BB"/>
    <w:rsid w:val="00981A84"/>
    <w:rsid w:val="0098592A"/>
    <w:rsid w:val="009859FA"/>
    <w:rsid w:val="00987D42"/>
    <w:rsid w:val="00991759"/>
    <w:rsid w:val="00994E99"/>
    <w:rsid w:val="009952AC"/>
    <w:rsid w:val="009A0709"/>
    <w:rsid w:val="009A483E"/>
    <w:rsid w:val="009B059E"/>
    <w:rsid w:val="009B42B5"/>
    <w:rsid w:val="009B45A2"/>
    <w:rsid w:val="009B4699"/>
    <w:rsid w:val="009B6772"/>
    <w:rsid w:val="009B7A67"/>
    <w:rsid w:val="009D1671"/>
    <w:rsid w:val="009D4084"/>
    <w:rsid w:val="009D547C"/>
    <w:rsid w:val="009D7ACB"/>
    <w:rsid w:val="009E1020"/>
    <w:rsid w:val="009E19AF"/>
    <w:rsid w:val="009E407C"/>
    <w:rsid w:val="009E7D9A"/>
    <w:rsid w:val="009F142D"/>
    <w:rsid w:val="009F57E0"/>
    <w:rsid w:val="00A05308"/>
    <w:rsid w:val="00A07C97"/>
    <w:rsid w:val="00A172C7"/>
    <w:rsid w:val="00A2322D"/>
    <w:rsid w:val="00A23813"/>
    <w:rsid w:val="00A24740"/>
    <w:rsid w:val="00A27E15"/>
    <w:rsid w:val="00A41C8F"/>
    <w:rsid w:val="00A42702"/>
    <w:rsid w:val="00A43429"/>
    <w:rsid w:val="00A44930"/>
    <w:rsid w:val="00A54C9C"/>
    <w:rsid w:val="00A57C32"/>
    <w:rsid w:val="00A70749"/>
    <w:rsid w:val="00A72C8B"/>
    <w:rsid w:val="00A74D70"/>
    <w:rsid w:val="00A76DAA"/>
    <w:rsid w:val="00A82CBF"/>
    <w:rsid w:val="00A8553B"/>
    <w:rsid w:val="00A919C5"/>
    <w:rsid w:val="00A92A2A"/>
    <w:rsid w:val="00AA571E"/>
    <w:rsid w:val="00AA7610"/>
    <w:rsid w:val="00AB2399"/>
    <w:rsid w:val="00AB6E53"/>
    <w:rsid w:val="00AB73FD"/>
    <w:rsid w:val="00AC3750"/>
    <w:rsid w:val="00AC37B9"/>
    <w:rsid w:val="00AC7755"/>
    <w:rsid w:val="00AE3515"/>
    <w:rsid w:val="00AE56D8"/>
    <w:rsid w:val="00AE5E13"/>
    <w:rsid w:val="00AF1096"/>
    <w:rsid w:val="00AF1D97"/>
    <w:rsid w:val="00AF3E69"/>
    <w:rsid w:val="00AF49F0"/>
    <w:rsid w:val="00AF4F14"/>
    <w:rsid w:val="00B06441"/>
    <w:rsid w:val="00B202E0"/>
    <w:rsid w:val="00B20619"/>
    <w:rsid w:val="00B21491"/>
    <w:rsid w:val="00B232D8"/>
    <w:rsid w:val="00B2394A"/>
    <w:rsid w:val="00B31483"/>
    <w:rsid w:val="00B317B7"/>
    <w:rsid w:val="00B32F80"/>
    <w:rsid w:val="00B33B9F"/>
    <w:rsid w:val="00B3691B"/>
    <w:rsid w:val="00B372EE"/>
    <w:rsid w:val="00B37464"/>
    <w:rsid w:val="00B44EEC"/>
    <w:rsid w:val="00B47779"/>
    <w:rsid w:val="00B52576"/>
    <w:rsid w:val="00B52BCC"/>
    <w:rsid w:val="00B53C91"/>
    <w:rsid w:val="00B56DD0"/>
    <w:rsid w:val="00B64284"/>
    <w:rsid w:val="00B67689"/>
    <w:rsid w:val="00B7496F"/>
    <w:rsid w:val="00B7656E"/>
    <w:rsid w:val="00B77CE4"/>
    <w:rsid w:val="00B812E9"/>
    <w:rsid w:val="00B83351"/>
    <w:rsid w:val="00B872EA"/>
    <w:rsid w:val="00B87487"/>
    <w:rsid w:val="00B874D3"/>
    <w:rsid w:val="00B910DC"/>
    <w:rsid w:val="00B93C83"/>
    <w:rsid w:val="00B93D84"/>
    <w:rsid w:val="00B9574D"/>
    <w:rsid w:val="00B95D65"/>
    <w:rsid w:val="00BA2BE9"/>
    <w:rsid w:val="00BA4340"/>
    <w:rsid w:val="00BA541E"/>
    <w:rsid w:val="00BA5899"/>
    <w:rsid w:val="00BB42CE"/>
    <w:rsid w:val="00BB46C3"/>
    <w:rsid w:val="00BB5E9B"/>
    <w:rsid w:val="00BB6029"/>
    <w:rsid w:val="00BB70B4"/>
    <w:rsid w:val="00BB7418"/>
    <w:rsid w:val="00BC2E09"/>
    <w:rsid w:val="00BC3E89"/>
    <w:rsid w:val="00BC6CD9"/>
    <w:rsid w:val="00BD22AC"/>
    <w:rsid w:val="00BD2FBA"/>
    <w:rsid w:val="00BD551B"/>
    <w:rsid w:val="00BE171E"/>
    <w:rsid w:val="00BE5513"/>
    <w:rsid w:val="00BF0FE2"/>
    <w:rsid w:val="00C03318"/>
    <w:rsid w:val="00C071BC"/>
    <w:rsid w:val="00C12E7E"/>
    <w:rsid w:val="00C1352D"/>
    <w:rsid w:val="00C23871"/>
    <w:rsid w:val="00C26807"/>
    <w:rsid w:val="00C3003C"/>
    <w:rsid w:val="00C32E3B"/>
    <w:rsid w:val="00C33592"/>
    <w:rsid w:val="00C351B6"/>
    <w:rsid w:val="00C36830"/>
    <w:rsid w:val="00C36AE8"/>
    <w:rsid w:val="00C36C5F"/>
    <w:rsid w:val="00C3759B"/>
    <w:rsid w:val="00C42692"/>
    <w:rsid w:val="00C43336"/>
    <w:rsid w:val="00C4445E"/>
    <w:rsid w:val="00C44A4B"/>
    <w:rsid w:val="00C45AB8"/>
    <w:rsid w:val="00C5053A"/>
    <w:rsid w:val="00C51C8A"/>
    <w:rsid w:val="00C520CC"/>
    <w:rsid w:val="00C53E90"/>
    <w:rsid w:val="00C62B22"/>
    <w:rsid w:val="00C63CC5"/>
    <w:rsid w:val="00C64259"/>
    <w:rsid w:val="00C64827"/>
    <w:rsid w:val="00C64D29"/>
    <w:rsid w:val="00C64E77"/>
    <w:rsid w:val="00C70E48"/>
    <w:rsid w:val="00C8579B"/>
    <w:rsid w:val="00C92DED"/>
    <w:rsid w:val="00C96B6B"/>
    <w:rsid w:val="00C96E94"/>
    <w:rsid w:val="00CA1CFF"/>
    <w:rsid w:val="00CA5300"/>
    <w:rsid w:val="00CA6819"/>
    <w:rsid w:val="00CB047C"/>
    <w:rsid w:val="00CB4A6C"/>
    <w:rsid w:val="00CB4F22"/>
    <w:rsid w:val="00CB4FC4"/>
    <w:rsid w:val="00CB77D3"/>
    <w:rsid w:val="00CC1AD3"/>
    <w:rsid w:val="00CC2498"/>
    <w:rsid w:val="00CD0C74"/>
    <w:rsid w:val="00CD5EF1"/>
    <w:rsid w:val="00CE03B0"/>
    <w:rsid w:val="00CE1434"/>
    <w:rsid w:val="00CE36C0"/>
    <w:rsid w:val="00CE564E"/>
    <w:rsid w:val="00CE5998"/>
    <w:rsid w:val="00CF041E"/>
    <w:rsid w:val="00CF4260"/>
    <w:rsid w:val="00CF43B0"/>
    <w:rsid w:val="00CF6BAC"/>
    <w:rsid w:val="00D04966"/>
    <w:rsid w:val="00D10DC0"/>
    <w:rsid w:val="00D12025"/>
    <w:rsid w:val="00D15C39"/>
    <w:rsid w:val="00D2060D"/>
    <w:rsid w:val="00D23E87"/>
    <w:rsid w:val="00D248DA"/>
    <w:rsid w:val="00D26DC6"/>
    <w:rsid w:val="00D334B4"/>
    <w:rsid w:val="00D34506"/>
    <w:rsid w:val="00D3764A"/>
    <w:rsid w:val="00D463D1"/>
    <w:rsid w:val="00D46B5D"/>
    <w:rsid w:val="00D537D4"/>
    <w:rsid w:val="00D53DFE"/>
    <w:rsid w:val="00D55A37"/>
    <w:rsid w:val="00D574FC"/>
    <w:rsid w:val="00D577F8"/>
    <w:rsid w:val="00D60003"/>
    <w:rsid w:val="00D6006F"/>
    <w:rsid w:val="00D64A45"/>
    <w:rsid w:val="00D65A1B"/>
    <w:rsid w:val="00D664B1"/>
    <w:rsid w:val="00D7509B"/>
    <w:rsid w:val="00D76D59"/>
    <w:rsid w:val="00D77B3D"/>
    <w:rsid w:val="00D82998"/>
    <w:rsid w:val="00D936F1"/>
    <w:rsid w:val="00D95B38"/>
    <w:rsid w:val="00DA15BF"/>
    <w:rsid w:val="00DA2ED8"/>
    <w:rsid w:val="00DA6CFD"/>
    <w:rsid w:val="00DA73F8"/>
    <w:rsid w:val="00DB5AAF"/>
    <w:rsid w:val="00DB6687"/>
    <w:rsid w:val="00DC0672"/>
    <w:rsid w:val="00DC0E0D"/>
    <w:rsid w:val="00DC165B"/>
    <w:rsid w:val="00DC4661"/>
    <w:rsid w:val="00DC6FBA"/>
    <w:rsid w:val="00DD6F35"/>
    <w:rsid w:val="00DD72CF"/>
    <w:rsid w:val="00DE2AC5"/>
    <w:rsid w:val="00DE3B7B"/>
    <w:rsid w:val="00DE460F"/>
    <w:rsid w:val="00DE6AAB"/>
    <w:rsid w:val="00DF08F1"/>
    <w:rsid w:val="00DF17FA"/>
    <w:rsid w:val="00DF2002"/>
    <w:rsid w:val="00DF550A"/>
    <w:rsid w:val="00DF5866"/>
    <w:rsid w:val="00DF5F57"/>
    <w:rsid w:val="00E01000"/>
    <w:rsid w:val="00E011BF"/>
    <w:rsid w:val="00E01ED1"/>
    <w:rsid w:val="00E038F3"/>
    <w:rsid w:val="00E04722"/>
    <w:rsid w:val="00E1278B"/>
    <w:rsid w:val="00E14B13"/>
    <w:rsid w:val="00E21F88"/>
    <w:rsid w:val="00E24470"/>
    <w:rsid w:val="00E25009"/>
    <w:rsid w:val="00E279F8"/>
    <w:rsid w:val="00E310B5"/>
    <w:rsid w:val="00E405E4"/>
    <w:rsid w:val="00E417C5"/>
    <w:rsid w:val="00E419F6"/>
    <w:rsid w:val="00E438BF"/>
    <w:rsid w:val="00E440D2"/>
    <w:rsid w:val="00E4429A"/>
    <w:rsid w:val="00E47357"/>
    <w:rsid w:val="00E5064B"/>
    <w:rsid w:val="00E60095"/>
    <w:rsid w:val="00E6118A"/>
    <w:rsid w:val="00E6401F"/>
    <w:rsid w:val="00E64086"/>
    <w:rsid w:val="00E70591"/>
    <w:rsid w:val="00E71274"/>
    <w:rsid w:val="00E7270E"/>
    <w:rsid w:val="00E745AF"/>
    <w:rsid w:val="00E76721"/>
    <w:rsid w:val="00E77E5A"/>
    <w:rsid w:val="00E80392"/>
    <w:rsid w:val="00E840EE"/>
    <w:rsid w:val="00E863AC"/>
    <w:rsid w:val="00E87A07"/>
    <w:rsid w:val="00E90E92"/>
    <w:rsid w:val="00E91418"/>
    <w:rsid w:val="00E91E45"/>
    <w:rsid w:val="00E9211D"/>
    <w:rsid w:val="00EA20D6"/>
    <w:rsid w:val="00EA49EC"/>
    <w:rsid w:val="00EA4FDD"/>
    <w:rsid w:val="00EB6850"/>
    <w:rsid w:val="00EB6CA3"/>
    <w:rsid w:val="00EC043E"/>
    <w:rsid w:val="00EC1863"/>
    <w:rsid w:val="00EC4D9D"/>
    <w:rsid w:val="00EC4DF7"/>
    <w:rsid w:val="00ED337C"/>
    <w:rsid w:val="00ED7049"/>
    <w:rsid w:val="00ED7F0C"/>
    <w:rsid w:val="00EE0FEB"/>
    <w:rsid w:val="00EE37B5"/>
    <w:rsid w:val="00EF728C"/>
    <w:rsid w:val="00F041DA"/>
    <w:rsid w:val="00F04FDA"/>
    <w:rsid w:val="00F052AB"/>
    <w:rsid w:val="00F05E5A"/>
    <w:rsid w:val="00F10365"/>
    <w:rsid w:val="00F105E6"/>
    <w:rsid w:val="00F117F0"/>
    <w:rsid w:val="00F21A06"/>
    <w:rsid w:val="00F22CA4"/>
    <w:rsid w:val="00F22CA6"/>
    <w:rsid w:val="00F22CFD"/>
    <w:rsid w:val="00F253F9"/>
    <w:rsid w:val="00F30657"/>
    <w:rsid w:val="00F32F85"/>
    <w:rsid w:val="00F330A8"/>
    <w:rsid w:val="00F37223"/>
    <w:rsid w:val="00F409BC"/>
    <w:rsid w:val="00F42308"/>
    <w:rsid w:val="00F46259"/>
    <w:rsid w:val="00F476C6"/>
    <w:rsid w:val="00F5260C"/>
    <w:rsid w:val="00F602D6"/>
    <w:rsid w:val="00F60636"/>
    <w:rsid w:val="00F6067C"/>
    <w:rsid w:val="00F611BF"/>
    <w:rsid w:val="00F62574"/>
    <w:rsid w:val="00F668D7"/>
    <w:rsid w:val="00F71D43"/>
    <w:rsid w:val="00F73EB8"/>
    <w:rsid w:val="00F8073A"/>
    <w:rsid w:val="00F8213C"/>
    <w:rsid w:val="00F82DCC"/>
    <w:rsid w:val="00F9193B"/>
    <w:rsid w:val="00F92B5E"/>
    <w:rsid w:val="00F9547A"/>
    <w:rsid w:val="00FA4239"/>
    <w:rsid w:val="00FA58EE"/>
    <w:rsid w:val="00FA5FEE"/>
    <w:rsid w:val="00FB1368"/>
    <w:rsid w:val="00FB36B2"/>
    <w:rsid w:val="00FB5CCA"/>
    <w:rsid w:val="00FB7B4B"/>
    <w:rsid w:val="00FC5A4F"/>
    <w:rsid w:val="00FD00A0"/>
    <w:rsid w:val="00FD62F7"/>
    <w:rsid w:val="00FE0D54"/>
    <w:rsid w:val="00FE1270"/>
    <w:rsid w:val="00FE14E4"/>
    <w:rsid w:val="00FE4674"/>
    <w:rsid w:val="00FE4B13"/>
    <w:rsid w:val="00FE63C3"/>
    <w:rsid w:val="00FF03E0"/>
    <w:rsid w:val="00FF1F69"/>
    <w:rsid w:val="00FF41D2"/>
    <w:rsid w:val="00FF4AFF"/>
    <w:rsid w:val="00FF52BF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C3E5C-8501-433B-BA84-F3CDD803F03A}"/>
</file>

<file path=customXml/itemProps2.xml><?xml version="1.0" encoding="utf-8"?>
<ds:datastoreItem xmlns:ds="http://schemas.openxmlformats.org/officeDocument/2006/customXml" ds:itemID="{7C154226-42D2-45FE-9569-DF8E38A57ED5}"/>
</file>

<file path=customXml/itemProps3.xml><?xml version="1.0" encoding="utf-8"?>
<ds:datastoreItem xmlns:ds="http://schemas.openxmlformats.org/officeDocument/2006/customXml" ds:itemID="{8C3C4D0D-8EEF-4CA3-B667-64F93F2BF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Yurli Arguello Araya</cp:lastModifiedBy>
  <cp:revision>5</cp:revision>
  <cp:lastPrinted>2023-06-29T23:54:00Z</cp:lastPrinted>
  <dcterms:created xsi:type="dcterms:W3CDTF">2023-06-29T23:42:00Z</dcterms:created>
  <dcterms:modified xsi:type="dcterms:W3CDTF">2023-06-29T23:54:00Z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