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F8F5" w14:textId="0CE79B4C" w:rsidR="007F4062" w:rsidRDefault="00113356" w:rsidP="007D55B3">
      <w:pPr>
        <w:spacing w:after="0" w:line="240" w:lineRule="auto"/>
        <w:ind w:left="1418" w:hanging="1418"/>
        <w:jc w:val="center"/>
        <w:rPr>
          <w:rFonts w:ascii="Arial" w:hAnsi="Arial" w:cs="Arial"/>
          <w:b/>
        </w:rPr>
      </w:pPr>
      <w:r w:rsidRPr="00395EDC">
        <w:rPr>
          <w:rFonts w:ascii="Arial" w:hAnsi="Arial" w:cs="Arial"/>
          <w:b/>
        </w:rPr>
        <w:t xml:space="preserve">     </w:t>
      </w:r>
    </w:p>
    <w:p w14:paraId="5C7BA938" w14:textId="2C3D681C" w:rsidR="00113356" w:rsidRPr="00395EDC" w:rsidRDefault="00113356" w:rsidP="007D55B3">
      <w:pPr>
        <w:spacing w:after="0" w:line="240" w:lineRule="auto"/>
        <w:jc w:val="center"/>
        <w:rPr>
          <w:rFonts w:ascii="Arial" w:hAnsi="Arial" w:cs="Arial"/>
          <w:b/>
        </w:rPr>
      </w:pPr>
      <w:r w:rsidRPr="00395EDC">
        <w:rPr>
          <w:rFonts w:ascii="Arial" w:hAnsi="Arial" w:cs="Arial"/>
          <w:b/>
        </w:rPr>
        <w:t xml:space="preserve">Circular No. </w:t>
      </w:r>
      <w:r>
        <w:rPr>
          <w:rFonts w:ascii="Arial" w:hAnsi="Arial" w:cs="Arial"/>
          <w:b/>
        </w:rPr>
        <w:t>3</w:t>
      </w:r>
      <w:r w:rsidR="004F73E2">
        <w:rPr>
          <w:rFonts w:ascii="Arial" w:hAnsi="Arial" w:cs="Arial"/>
          <w:b/>
        </w:rPr>
        <w:t>9</w:t>
      </w:r>
      <w:r w:rsidRPr="00DE58DC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2</w:t>
      </w:r>
    </w:p>
    <w:p w14:paraId="1765C039" w14:textId="77777777" w:rsidR="00BD1149" w:rsidRDefault="00BD1149" w:rsidP="007D55B3">
      <w:p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</w:p>
    <w:p w14:paraId="403EA7D8" w14:textId="4E7C7372" w:rsidR="00A2398E" w:rsidRPr="00395EDC" w:rsidRDefault="00A2398E" w:rsidP="007D55B3">
      <w:pPr>
        <w:spacing w:after="0" w:line="240" w:lineRule="auto"/>
        <w:ind w:left="1418" w:hanging="425"/>
        <w:jc w:val="both"/>
        <w:rPr>
          <w:rFonts w:ascii="Arial" w:hAnsi="Arial" w:cs="Arial"/>
          <w:bCs/>
          <w:lang w:val="es-CR"/>
        </w:rPr>
      </w:pPr>
      <w:r w:rsidRPr="00395EDC">
        <w:rPr>
          <w:rFonts w:ascii="Arial" w:hAnsi="Arial" w:cs="Arial"/>
          <w:b/>
        </w:rPr>
        <w:t xml:space="preserve">De:        </w:t>
      </w:r>
      <w:r w:rsidRPr="00395EDC">
        <w:rPr>
          <w:rFonts w:ascii="Arial" w:hAnsi="Arial" w:cs="Arial"/>
          <w:b/>
        </w:rPr>
        <w:tab/>
      </w:r>
      <w:r w:rsidRPr="00395EDC">
        <w:rPr>
          <w:rFonts w:ascii="Arial" w:hAnsi="Arial" w:cs="Arial"/>
          <w:bCs/>
          <w:lang w:val="es-CR"/>
        </w:rPr>
        <w:t xml:space="preserve">Licda. </w:t>
      </w:r>
      <w:r>
        <w:rPr>
          <w:rFonts w:ascii="Arial" w:hAnsi="Arial" w:cs="Arial"/>
          <w:bCs/>
          <w:lang w:val="es-CR"/>
        </w:rPr>
        <w:t>Adriana Esquivel Sanabria</w:t>
      </w:r>
      <w:r w:rsidRPr="00395EDC">
        <w:rPr>
          <w:rFonts w:ascii="Arial" w:hAnsi="Arial" w:cs="Arial"/>
          <w:bCs/>
          <w:lang w:val="es-CR"/>
        </w:rPr>
        <w:t xml:space="preserve">, </w:t>
      </w:r>
      <w:proofErr w:type="gramStart"/>
      <w:r w:rsidRPr="00395EDC">
        <w:rPr>
          <w:rFonts w:ascii="Arial" w:hAnsi="Arial" w:cs="Arial"/>
          <w:bCs/>
          <w:lang w:val="es-CR"/>
        </w:rPr>
        <w:t>Jefa</w:t>
      </w:r>
      <w:proofErr w:type="gramEnd"/>
      <w:r w:rsidRPr="00395EDC">
        <w:rPr>
          <w:rFonts w:ascii="Arial" w:hAnsi="Arial" w:cs="Arial"/>
          <w:bCs/>
          <w:lang w:val="es-CR"/>
        </w:rPr>
        <w:t xml:space="preserve"> </w:t>
      </w:r>
      <w:proofErr w:type="spellStart"/>
      <w:r w:rsidRPr="00395EDC">
        <w:rPr>
          <w:rFonts w:ascii="Arial" w:hAnsi="Arial" w:cs="Arial"/>
          <w:bCs/>
          <w:lang w:val="es-CR"/>
        </w:rPr>
        <w:t>a.í</w:t>
      </w:r>
      <w:proofErr w:type="spellEnd"/>
      <w:r w:rsidRPr="00395EDC">
        <w:rPr>
          <w:rFonts w:ascii="Arial" w:hAnsi="Arial" w:cs="Arial"/>
          <w:bCs/>
          <w:lang w:val="es-CR"/>
        </w:rPr>
        <w:t>.</w:t>
      </w:r>
    </w:p>
    <w:p w14:paraId="3EB9E542" w14:textId="77777777" w:rsidR="00A2398E" w:rsidRPr="00395EDC" w:rsidRDefault="00A2398E" w:rsidP="007D55B3">
      <w:pPr>
        <w:spacing w:after="0" w:line="240" w:lineRule="auto"/>
        <w:ind w:left="1418" w:hanging="425"/>
        <w:jc w:val="both"/>
        <w:rPr>
          <w:rFonts w:ascii="Arial" w:hAnsi="Arial" w:cs="Arial"/>
          <w:bCs/>
        </w:rPr>
      </w:pPr>
      <w:r w:rsidRPr="00395EDC">
        <w:rPr>
          <w:rFonts w:ascii="Arial" w:hAnsi="Arial" w:cs="Arial"/>
          <w:bCs/>
        </w:rPr>
        <w:t xml:space="preserve">              </w:t>
      </w:r>
      <w:r w:rsidRPr="00395EDC">
        <w:rPr>
          <w:rFonts w:ascii="Arial" w:hAnsi="Arial" w:cs="Arial"/>
          <w:bCs/>
        </w:rPr>
        <w:tab/>
        <w:t>Departamento de Proveeduría</w:t>
      </w:r>
    </w:p>
    <w:p w14:paraId="7C9CDC01" w14:textId="77777777" w:rsidR="00A2398E" w:rsidRPr="00395EDC" w:rsidRDefault="00A2398E" w:rsidP="007D55B3">
      <w:pPr>
        <w:spacing w:after="0" w:line="240" w:lineRule="auto"/>
        <w:ind w:left="1418" w:hanging="425"/>
        <w:jc w:val="both"/>
        <w:rPr>
          <w:rFonts w:ascii="Arial" w:hAnsi="Arial" w:cs="Arial"/>
          <w:bCs/>
        </w:rPr>
      </w:pPr>
    </w:p>
    <w:p w14:paraId="28B11A0F" w14:textId="77777777" w:rsidR="00A2398E" w:rsidRPr="00395EDC" w:rsidRDefault="00A2398E" w:rsidP="007D55B3">
      <w:pPr>
        <w:spacing w:after="0" w:line="240" w:lineRule="auto"/>
        <w:ind w:left="2121" w:hanging="1136"/>
        <w:jc w:val="both"/>
        <w:rPr>
          <w:rFonts w:ascii="Arial" w:hAnsi="Arial" w:cs="Arial"/>
          <w:bCs/>
          <w:lang w:val="es-CR"/>
        </w:rPr>
      </w:pPr>
      <w:r w:rsidRPr="00395EDC">
        <w:rPr>
          <w:rFonts w:ascii="Arial" w:hAnsi="Arial" w:cs="Arial"/>
          <w:b/>
        </w:rPr>
        <w:t>Para:</w:t>
      </w:r>
      <w:r w:rsidRPr="00395EDC">
        <w:rPr>
          <w:rFonts w:ascii="Arial" w:hAnsi="Arial" w:cs="Arial"/>
          <w:bCs/>
        </w:rPr>
        <w:t>    </w:t>
      </w:r>
      <w:r w:rsidRPr="00395EDC">
        <w:rPr>
          <w:rFonts w:ascii="Arial" w:hAnsi="Arial" w:cs="Arial"/>
          <w:bCs/>
        </w:rPr>
        <w:tab/>
      </w:r>
      <w:r w:rsidRPr="00395EDC">
        <w:rPr>
          <w:rFonts w:ascii="Arial" w:hAnsi="Arial" w:cs="Arial"/>
          <w:bCs/>
          <w:lang w:val="es-CR"/>
        </w:rPr>
        <w:t xml:space="preserve">Administradores de Centros de Responsabilidad, Centros Gestores, Rubro, Programas y </w:t>
      </w:r>
      <w:r>
        <w:rPr>
          <w:rFonts w:ascii="Arial" w:hAnsi="Arial" w:cs="Arial"/>
          <w:bCs/>
          <w:lang w:val="es-CR"/>
        </w:rPr>
        <w:t xml:space="preserve">personas </w:t>
      </w:r>
      <w:r w:rsidRPr="00395EDC">
        <w:rPr>
          <w:rFonts w:ascii="Arial" w:hAnsi="Arial" w:cs="Arial"/>
          <w:bCs/>
          <w:lang w:val="es-CR"/>
        </w:rPr>
        <w:t>usuari</w:t>
      </w:r>
      <w:r>
        <w:rPr>
          <w:rFonts w:ascii="Arial" w:hAnsi="Arial" w:cs="Arial"/>
          <w:bCs/>
          <w:lang w:val="es-CR"/>
        </w:rPr>
        <w:t>a</w:t>
      </w:r>
      <w:r w:rsidRPr="00395EDC">
        <w:rPr>
          <w:rFonts w:ascii="Arial" w:hAnsi="Arial" w:cs="Arial"/>
          <w:bCs/>
          <w:lang w:val="es-CR"/>
        </w:rPr>
        <w:t>s en general que ejecutan compras.</w:t>
      </w:r>
    </w:p>
    <w:p w14:paraId="2D41897E" w14:textId="77777777" w:rsidR="00A2398E" w:rsidRPr="00395EDC" w:rsidRDefault="00A2398E" w:rsidP="007D55B3">
      <w:pPr>
        <w:spacing w:after="0" w:line="240" w:lineRule="auto"/>
        <w:ind w:left="2121" w:hanging="1136"/>
        <w:rPr>
          <w:rFonts w:ascii="Arial" w:hAnsi="Arial" w:cs="Arial"/>
          <w:bCs/>
          <w:lang w:val="es-CR"/>
        </w:rPr>
      </w:pPr>
    </w:p>
    <w:p w14:paraId="46446AA9" w14:textId="7FCDB0A3" w:rsidR="00A2398E" w:rsidRPr="00395EDC" w:rsidRDefault="00A2398E" w:rsidP="007D55B3">
      <w:pPr>
        <w:spacing w:after="0" w:line="240" w:lineRule="auto"/>
        <w:ind w:left="2121" w:hanging="1128"/>
        <w:jc w:val="both"/>
        <w:rPr>
          <w:rFonts w:ascii="Arial" w:hAnsi="Arial" w:cs="Arial"/>
          <w:bCs/>
          <w:i/>
        </w:rPr>
      </w:pPr>
      <w:r w:rsidRPr="00395EDC">
        <w:rPr>
          <w:rFonts w:ascii="Arial" w:hAnsi="Arial" w:cs="Arial"/>
          <w:b/>
        </w:rPr>
        <w:t>Asunto:</w:t>
      </w:r>
      <w:r w:rsidRPr="00395EDC">
        <w:rPr>
          <w:rFonts w:ascii="Arial" w:hAnsi="Arial" w:cs="Arial"/>
          <w:bCs/>
        </w:rPr>
        <w:t xml:space="preserve"> </w:t>
      </w:r>
      <w:r w:rsidRPr="00395EDC">
        <w:rPr>
          <w:rFonts w:ascii="Arial" w:hAnsi="Arial" w:cs="Arial"/>
          <w:bCs/>
        </w:rPr>
        <w:tab/>
      </w:r>
      <w:r w:rsidRPr="00A2398E">
        <w:rPr>
          <w:rFonts w:ascii="Arial" w:hAnsi="Arial" w:cs="Arial"/>
          <w:bCs/>
          <w:lang w:val="es-CR"/>
        </w:rPr>
        <w:t>Consulta de inhabilitaciones</w:t>
      </w:r>
      <w:r w:rsidR="00087E07">
        <w:rPr>
          <w:rFonts w:ascii="Arial" w:hAnsi="Arial" w:cs="Arial"/>
          <w:bCs/>
          <w:lang w:val="es-CR"/>
        </w:rPr>
        <w:t xml:space="preserve"> y sanciones</w:t>
      </w:r>
      <w:r w:rsidR="00F2484E">
        <w:rPr>
          <w:rFonts w:ascii="Arial" w:hAnsi="Arial" w:cs="Arial"/>
          <w:bCs/>
          <w:lang w:val="es-CR"/>
        </w:rPr>
        <w:t xml:space="preserve"> en SICOP</w:t>
      </w:r>
    </w:p>
    <w:p w14:paraId="49BC9E99" w14:textId="77777777" w:rsidR="00A2398E" w:rsidRPr="00395EDC" w:rsidRDefault="00A2398E" w:rsidP="007D55B3">
      <w:pPr>
        <w:spacing w:after="0" w:line="240" w:lineRule="auto"/>
        <w:ind w:left="2121" w:right="131" w:hanging="1128"/>
        <w:jc w:val="both"/>
        <w:rPr>
          <w:rFonts w:ascii="Arial" w:hAnsi="Arial" w:cs="Arial"/>
          <w:b/>
        </w:rPr>
      </w:pPr>
    </w:p>
    <w:p w14:paraId="641D3F2D" w14:textId="1E570B6B" w:rsidR="00A2398E" w:rsidRPr="00395EDC" w:rsidRDefault="00A2398E" w:rsidP="007D55B3">
      <w:p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395EDC">
        <w:rPr>
          <w:rFonts w:ascii="Arial" w:hAnsi="Arial" w:cs="Arial"/>
          <w:b/>
        </w:rPr>
        <w:t xml:space="preserve">Fecha:   </w:t>
      </w:r>
      <w:r w:rsidRPr="00395EDC">
        <w:rPr>
          <w:rFonts w:ascii="Arial" w:hAnsi="Arial" w:cs="Arial"/>
          <w:b/>
        </w:rPr>
        <w:tab/>
      </w:r>
      <w:r w:rsidR="007D55B3">
        <w:rPr>
          <w:rFonts w:ascii="Arial" w:hAnsi="Arial" w:cs="Arial"/>
        </w:rPr>
        <w:t xml:space="preserve">30 </w:t>
      </w:r>
      <w:r w:rsidRPr="00395ED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marzo </w:t>
      </w:r>
      <w:r w:rsidRPr="00395EDC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395EDC">
        <w:rPr>
          <w:rFonts w:ascii="Arial" w:hAnsi="Arial" w:cs="Arial"/>
        </w:rPr>
        <w:t>.</w:t>
      </w:r>
      <w:r w:rsidRPr="00395EDC">
        <w:rPr>
          <w:rFonts w:ascii="Arial" w:hAnsi="Arial" w:cs="Arial"/>
          <w:b/>
        </w:rPr>
        <w:t xml:space="preserve">                                         </w:t>
      </w:r>
    </w:p>
    <w:p w14:paraId="048011FC" w14:textId="23C3C3E6" w:rsidR="00A2398E" w:rsidRPr="007F4062" w:rsidRDefault="00646279" w:rsidP="007D55B3">
      <w:pPr>
        <w:spacing w:after="0" w:line="240" w:lineRule="auto"/>
        <w:jc w:val="both"/>
        <w:rPr>
          <w:color w:val="000000" w:themeColor="text1"/>
          <w:sz w:val="40"/>
          <w:szCs w:val="40"/>
          <w:lang w:val="es-419"/>
        </w:rPr>
      </w:pPr>
      <w:r w:rsidRPr="007F4062">
        <w:rPr>
          <w:color w:val="000000" w:themeColor="text1"/>
          <w:sz w:val="40"/>
          <w:szCs w:val="40"/>
          <w:lang w:val="es-419"/>
        </w:rPr>
        <w:t>_</w:t>
      </w:r>
      <w:r w:rsidR="00113356" w:rsidRPr="007F4062">
        <w:rPr>
          <w:color w:val="000000" w:themeColor="text1"/>
          <w:sz w:val="40"/>
          <w:szCs w:val="40"/>
          <w:lang w:val="es-419"/>
        </w:rPr>
        <w:t>_____</w:t>
      </w:r>
      <w:r w:rsidRPr="007F4062">
        <w:rPr>
          <w:color w:val="000000" w:themeColor="text1"/>
          <w:sz w:val="40"/>
          <w:szCs w:val="40"/>
          <w:lang w:val="es-419"/>
        </w:rPr>
        <w:t>_________________________________________</w:t>
      </w:r>
    </w:p>
    <w:p w14:paraId="7A4882F9" w14:textId="77777777" w:rsidR="00882B33" w:rsidRDefault="00882B33" w:rsidP="007D55B3">
      <w:pPr>
        <w:spacing w:after="0" w:line="240" w:lineRule="auto"/>
        <w:jc w:val="both"/>
        <w:rPr>
          <w:sz w:val="24"/>
          <w:szCs w:val="24"/>
          <w:lang w:val="es-419"/>
        </w:rPr>
      </w:pPr>
    </w:p>
    <w:p w14:paraId="35714EB1" w14:textId="1BBA2562" w:rsidR="00EB2E48" w:rsidRPr="00BD1149" w:rsidRDefault="008212F4" w:rsidP="00BD1149">
      <w:pPr>
        <w:jc w:val="both"/>
        <w:rPr>
          <w:rFonts w:ascii="Arial" w:hAnsi="Arial" w:cs="Arial"/>
          <w:lang w:val="es-419"/>
        </w:rPr>
      </w:pPr>
      <w:r w:rsidRPr="00BD1149">
        <w:rPr>
          <w:rFonts w:ascii="Arial" w:hAnsi="Arial" w:cs="Arial"/>
          <w:lang w:val="es-419"/>
        </w:rPr>
        <w:t xml:space="preserve">En </w:t>
      </w:r>
      <w:r w:rsidR="000A0D91" w:rsidRPr="00BD1149">
        <w:rPr>
          <w:rFonts w:ascii="Arial" w:hAnsi="Arial" w:cs="Arial"/>
          <w:lang w:val="es-419"/>
        </w:rPr>
        <w:t xml:space="preserve">relación </w:t>
      </w:r>
      <w:r w:rsidRPr="00BD1149">
        <w:rPr>
          <w:rFonts w:ascii="Arial" w:hAnsi="Arial" w:cs="Arial"/>
          <w:lang w:val="es-419"/>
        </w:rPr>
        <w:t xml:space="preserve">con </w:t>
      </w:r>
      <w:r w:rsidR="000A0D91" w:rsidRPr="00BD1149">
        <w:rPr>
          <w:rFonts w:ascii="Arial" w:hAnsi="Arial" w:cs="Arial"/>
          <w:lang w:val="es-419"/>
        </w:rPr>
        <w:t xml:space="preserve">la consulta de </w:t>
      </w:r>
      <w:r w:rsidR="00F82047" w:rsidRPr="00BD1149">
        <w:rPr>
          <w:rFonts w:ascii="Arial" w:hAnsi="Arial" w:cs="Arial"/>
          <w:lang w:val="es-419"/>
        </w:rPr>
        <w:t>inhabilitaciones</w:t>
      </w:r>
      <w:r w:rsidR="00B31348" w:rsidRPr="00BD1149">
        <w:rPr>
          <w:rFonts w:ascii="Arial" w:hAnsi="Arial" w:cs="Arial"/>
          <w:lang w:val="es-419"/>
        </w:rPr>
        <w:t xml:space="preserve"> de las empresas proveedoras</w:t>
      </w:r>
      <w:r w:rsidR="00F82047" w:rsidRPr="00BD1149">
        <w:rPr>
          <w:rFonts w:ascii="Arial" w:hAnsi="Arial" w:cs="Arial"/>
          <w:lang w:val="es-419"/>
        </w:rPr>
        <w:t>,</w:t>
      </w:r>
      <w:r w:rsidR="00EB2E48" w:rsidRPr="00BD1149">
        <w:rPr>
          <w:rFonts w:ascii="Arial" w:hAnsi="Arial" w:cs="Arial"/>
          <w:lang w:val="es-419"/>
        </w:rPr>
        <w:t xml:space="preserve"> se </w:t>
      </w:r>
      <w:r w:rsidR="00A51FD0" w:rsidRPr="00BD1149">
        <w:rPr>
          <w:rFonts w:ascii="Arial" w:hAnsi="Arial" w:cs="Arial"/>
          <w:lang w:val="es-419"/>
        </w:rPr>
        <w:t xml:space="preserve">informa que </w:t>
      </w:r>
      <w:r w:rsidR="0082725F" w:rsidRPr="00BD1149">
        <w:rPr>
          <w:rFonts w:ascii="Arial" w:hAnsi="Arial" w:cs="Arial"/>
          <w:lang w:val="es-419"/>
        </w:rPr>
        <w:t>a partir de este momento las personas analistas deberán de ingresar</w:t>
      </w:r>
      <w:r w:rsidR="00A51FD0" w:rsidRPr="00BD1149">
        <w:rPr>
          <w:rFonts w:ascii="Arial" w:hAnsi="Arial" w:cs="Arial"/>
          <w:lang w:val="es-419"/>
        </w:rPr>
        <w:t xml:space="preserve"> a la página web de </w:t>
      </w:r>
      <w:r w:rsidR="00A51FD0" w:rsidRPr="00BD1149">
        <w:rPr>
          <w:rFonts w:ascii="Arial" w:hAnsi="Arial" w:cs="Arial"/>
          <w:b/>
          <w:bCs/>
          <w:lang w:val="es-419"/>
        </w:rPr>
        <w:t>SICOP</w:t>
      </w:r>
      <w:r w:rsidR="00A51FD0" w:rsidRPr="00BD1149">
        <w:rPr>
          <w:rFonts w:ascii="Arial" w:hAnsi="Arial" w:cs="Arial"/>
          <w:lang w:val="es-419"/>
        </w:rPr>
        <w:t xml:space="preserve"> </w:t>
      </w:r>
      <w:hyperlink r:id="rId10" w:history="1">
        <w:r w:rsidR="00A51FD0" w:rsidRPr="00BD1149">
          <w:rPr>
            <w:rStyle w:val="Hipervnculo"/>
            <w:rFonts w:ascii="Arial" w:hAnsi="Arial" w:cs="Arial"/>
            <w:lang w:val="es-419"/>
          </w:rPr>
          <w:t>www.sicop.go.cr</w:t>
        </w:r>
      </w:hyperlink>
      <w:r w:rsidR="00A51FD0" w:rsidRPr="00BD1149">
        <w:rPr>
          <w:rFonts w:ascii="Arial" w:hAnsi="Arial" w:cs="Arial"/>
          <w:lang w:val="es-419"/>
        </w:rPr>
        <w:t xml:space="preserve">, para verificar el estado </w:t>
      </w:r>
      <w:r w:rsidR="008174DC" w:rsidRPr="00BD1149">
        <w:rPr>
          <w:rFonts w:ascii="Arial" w:hAnsi="Arial" w:cs="Arial"/>
          <w:lang w:val="es-419"/>
        </w:rPr>
        <w:t>en que se encuentran,</w:t>
      </w:r>
      <w:r w:rsidR="00BE5A44">
        <w:rPr>
          <w:rFonts w:ascii="Arial" w:hAnsi="Arial" w:cs="Arial"/>
          <w:lang w:val="es-419"/>
        </w:rPr>
        <w:t xml:space="preserve"> </w:t>
      </w:r>
      <w:r w:rsidR="00CC3372" w:rsidRPr="00BD1149">
        <w:rPr>
          <w:rFonts w:ascii="Arial" w:hAnsi="Arial" w:cs="Arial"/>
          <w:lang w:val="es-419"/>
        </w:rPr>
        <w:t>así evita</w:t>
      </w:r>
      <w:r w:rsidR="00BE5A44">
        <w:rPr>
          <w:rFonts w:ascii="Arial" w:hAnsi="Arial" w:cs="Arial"/>
          <w:lang w:val="es-419"/>
        </w:rPr>
        <w:t>mos</w:t>
      </w:r>
      <w:r w:rsidR="00CC3372" w:rsidRPr="00BD1149">
        <w:rPr>
          <w:rFonts w:ascii="Arial" w:hAnsi="Arial" w:cs="Arial"/>
          <w:lang w:val="es-419"/>
        </w:rPr>
        <w:t xml:space="preserve"> contratar </w:t>
      </w:r>
      <w:r w:rsidR="00411F1E" w:rsidRPr="00BD1149">
        <w:rPr>
          <w:rFonts w:ascii="Arial" w:hAnsi="Arial" w:cs="Arial"/>
          <w:lang w:val="es-419"/>
        </w:rPr>
        <w:t xml:space="preserve">alguna que se encuentre </w:t>
      </w:r>
      <w:r w:rsidR="006E6739" w:rsidRPr="00BD1149">
        <w:rPr>
          <w:rFonts w:ascii="Arial" w:hAnsi="Arial" w:cs="Arial"/>
          <w:lang w:val="es-419"/>
        </w:rPr>
        <w:t>i</w:t>
      </w:r>
      <w:r w:rsidR="00A51FD0" w:rsidRPr="00BD1149">
        <w:rPr>
          <w:rFonts w:ascii="Arial" w:hAnsi="Arial" w:cs="Arial"/>
          <w:lang w:val="es-419"/>
        </w:rPr>
        <w:t>nhabilitad</w:t>
      </w:r>
      <w:r w:rsidR="006E6739" w:rsidRPr="00BD1149">
        <w:rPr>
          <w:rFonts w:ascii="Arial" w:hAnsi="Arial" w:cs="Arial"/>
          <w:lang w:val="es-419"/>
        </w:rPr>
        <w:t>a</w:t>
      </w:r>
      <w:r w:rsidR="00A51FD0" w:rsidRPr="00BD1149">
        <w:rPr>
          <w:rFonts w:ascii="Arial" w:hAnsi="Arial" w:cs="Arial"/>
          <w:lang w:val="es-419"/>
        </w:rPr>
        <w:t>.</w:t>
      </w:r>
      <w:r w:rsidR="006E6739" w:rsidRPr="00BD1149">
        <w:rPr>
          <w:rFonts w:ascii="Arial" w:hAnsi="Arial" w:cs="Arial"/>
          <w:lang w:val="es-419"/>
        </w:rPr>
        <w:t xml:space="preserve"> </w:t>
      </w:r>
    </w:p>
    <w:p w14:paraId="3AB38D3A" w14:textId="3C69B634" w:rsidR="00284966" w:rsidRPr="00BD1149" w:rsidRDefault="00C13D5E" w:rsidP="00BD1149">
      <w:pPr>
        <w:jc w:val="both"/>
        <w:rPr>
          <w:rFonts w:ascii="Arial" w:hAnsi="Arial" w:cs="Arial"/>
          <w:lang w:val="es-419"/>
        </w:rPr>
      </w:pPr>
      <w:r w:rsidRPr="00BD1149">
        <w:rPr>
          <w:rFonts w:ascii="Arial" w:hAnsi="Arial" w:cs="Arial"/>
          <w:lang w:val="es-419"/>
        </w:rPr>
        <w:t xml:space="preserve">Actualmente solo las siguientes tres empresas proveedoras no se logró actualizar el registro en SICOP, ya que no se encuentran </w:t>
      </w:r>
      <w:r w:rsidR="00411F1E" w:rsidRPr="00BD1149">
        <w:rPr>
          <w:rFonts w:ascii="Arial" w:hAnsi="Arial" w:cs="Arial"/>
          <w:lang w:val="es-419"/>
        </w:rPr>
        <w:t xml:space="preserve">debidamente </w:t>
      </w:r>
      <w:r w:rsidRPr="00BD1149">
        <w:rPr>
          <w:rFonts w:ascii="Arial" w:hAnsi="Arial" w:cs="Arial"/>
          <w:lang w:val="es-419"/>
        </w:rPr>
        <w:t>registradas en dicha plataforma</w:t>
      </w:r>
      <w:r w:rsidR="00284966" w:rsidRPr="00BD1149">
        <w:rPr>
          <w:rFonts w:ascii="Arial" w:hAnsi="Arial" w:cs="Arial"/>
          <w:lang w:val="es-419"/>
        </w:rPr>
        <w:t xml:space="preserve">, por lo anterior, deberán tener el cuidado </w:t>
      </w:r>
      <w:r w:rsidR="002E6CD8" w:rsidRPr="00BD1149">
        <w:rPr>
          <w:rFonts w:ascii="Arial" w:hAnsi="Arial" w:cs="Arial"/>
          <w:lang w:val="es-419"/>
        </w:rPr>
        <w:t>y considerar la</w:t>
      </w:r>
      <w:r w:rsidR="00BE5A44">
        <w:rPr>
          <w:rFonts w:ascii="Arial" w:hAnsi="Arial" w:cs="Arial"/>
          <w:lang w:val="es-419"/>
        </w:rPr>
        <w:t xml:space="preserve"> fecha de fin</w:t>
      </w:r>
      <w:r w:rsidR="002E6CD8" w:rsidRPr="00BD1149">
        <w:rPr>
          <w:rFonts w:ascii="Arial" w:hAnsi="Arial" w:cs="Arial"/>
          <w:lang w:val="es-419"/>
        </w:rPr>
        <w:t xml:space="preserve"> vigencia de dicha sanción:</w:t>
      </w:r>
      <w:r w:rsidR="00284966" w:rsidRPr="00BD1149">
        <w:rPr>
          <w:rFonts w:ascii="Arial" w:hAnsi="Arial" w:cs="Arial"/>
          <w:lang w:val="es-419"/>
        </w:rPr>
        <w:t xml:space="preserve"> </w:t>
      </w:r>
    </w:p>
    <w:p w14:paraId="7AFB944A" w14:textId="6DB0981E" w:rsidR="00284966" w:rsidRPr="00BD1149" w:rsidRDefault="00284966" w:rsidP="00BD11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419"/>
        </w:rPr>
      </w:pPr>
      <w:r w:rsidRPr="00BD1149">
        <w:rPr>
          <w:rFonts w:ascii="Arial" w:hAnsi="Arial" w:cs="Arial"/>
          <w:lang w:val="es-419"/>
        </w:rPr>
        <w:t>Cumbres Representaciones</w:t>
      </w:r>
      <w:r w:rsidR="002E6CD8" w:rsidRPr="00BD1149">
        <w:rPr>
          <w:rFonts w:ascii="Arial" w:hAnsi="Arial" w:cs="Arial"/>
          <w:lang w:val="es-419"/>
        </w:rPr>
        <w:t>:</w:t>
      </w:r>
      <w:r w:rsidRPr="00BD1149">
        <w:rPr>
          <w:rFonts w:ascii="Arial" w:hAnsi="Arial" w:cs="Arial"/>
          <w:lang w:val="es-419"/>
        </w:rPr>
        <w:t xml:space="preserve"> sanción vence el 13/05/2022</w:t>
      </w:r>
      <w:r w:rsidR="002E6CD8" w:rsidRPr="00BD1149">
        <w:rPr>
          <w:rFonts w:ascii="Arial" w:hAnsi="Arial" w:cs="Arial"/>
          <w:lang w:val="es-419"/>
        </w:rPr>
        <w:t>.</w:t>
      </w:r>
    </w:p>
    <w:p w14:paraId="1DD294AE" w14:textId="2AC8AE43" w:rsidR="00284966" w:rsidRPr="00BD1149" w:rsidRDefault="00284966" w:rsidP="00BD11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419"/>
        </w:rPr>
      </w:pPr>
      <w:r w:rsidRPr="00BD1149">
        <w:rPr>
          <w:rFonts w:ascii="Arial" w:hAnsi="Arial" w:cs="Arial"/>
          <w:lang w:val="es-419"/>
        </w:rPr>
        <w:t>Clemente Centeno</w:t>
      </w:r>
      <w:r w:rsidR="002E6CD8" w:rsidRPr="00BD1149">
        <w:rPr>
          <w:rFonts w:ascii="Arial" w:hAnsi="Arial" w:cs="Arial"/>
          <w:lang w:val="es-419"/>
        </w:rPr>
        <w:t>:</w:t>
      </w:r>
      <w:r w:rsidRPr="00BD1149">
        <w:rPr>
          <w:rFonts w:ascii="Arial" w:hAnsi="Arial" w:cs="Arial"/>
          <w:lang w:val="es-419"/>
        </w:rPr>
        <w:t xml:space="preserve"> sanción vence el 24/01/2023</w:t>
      </w:r>
      <w:r w:rsidR="002E6CD8" w:rsidRPr="00BD1149">
        <w:rPr>
          <w:rFonts w:ascii="Arial" w:hAnsi="Arial" w:cs="Arial"/>
          <w:lang w:val="es-419"/>
        </w:rPr>
        <w:t>.</w:t>
      </w:r>
    </w:p>
    <w:p w14:paraId="3EE34B5E" w14:textId="6FD20173" w:rsidR="00284966" w:rsidRPr="00BD1149" w:rsidRDefault="00284966" w:rsidP="00BD114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419"/>
        </w:rPr>
      </w:pPr>
      <w:r w:rsidRPr="00BD1149">
        <w:rPr>
          <w:rFonts w:ascii="Arial" w:hAnsi="Arial" w:cs="Arial"/>
          <w:lang w:val="es-419"/>
        </w:rPr>
        <w:t>Comercializadora Mafaco</w:t>
      </w:r>
      <w:r w:rsidR="002E6CD8" w:rsidRPr="00BD1149">
        <w:rPr>
          <w:rFonts w:ascii="Arial" w:hAnsi="Arial" w:cs="Arial"/>
          <w:lang w:val="es-419"/>
        </w:rPr>
        <w:t>:</w:t>
      </w:r>
      <w:r w:rsidRPr="00BD1149">
        <w:rPr>
          <w:rFonts w:ascii="Arial" w:hAnsi="Arial" w:cs="Arial"/>
          <w:lang w:val="es-419"/>
        </w:rPr>
        <w:t xml:space="preserve"> sanción vence el 23/10/2023</w:t>
      </w:r>
      <w:r w:rsidR="002E6CD8" w:rsidRPr="00BD1149">
        <w:rPr>
          <w:rFonts w:ascii="Arial" w:hAnsi="Arial" w:cs="Arial"/>
          <w:lang w:val="es-419"/>
        </w:rPr>
        <w:t>.</w:t>
      </w:r>
    </w:p>
    <w:p w14:paraId="1D3DEAFF" w14:textId="4E00FFCE" w:rsidR="00EB2E48" w:rsidRPr="00BD1149" w:rsidRDefault="00FE6C2A" w:rsidP="00BD1149">
      <w:pPr>
        <w:jc w:val="both"/>
        <w:rPr>
          <w:rFonts w:ascii="Arial" w:hAnsi="Arial" w:cs="Arial"/>
          <w:lang w:val="es-419"/>
        </w:rPr>
      </w:pPr>
      <w:r w:rsidRPr="00BD1149">
        <w:rPr>
          <w:rFonts w:ascii="Arial" w:hAnsi="Arial" w:cs="Arial"/>
          <w:lang w:val="es-419"/>
        </w:rPr>
        <w:t>P</w:t>
      </w:r>
      <w:r w:rsidR="006E0AD8" w:rsidRPr="00BD1149">
        <w:rPr>
          <w:rFonts w:ascii="Arial" w:hAnsi="Arial" w:cs="Arial"/>
          <w:lang w:val="es-419"/>
        </w:rPr>
        <w:t>or otra parte</w:t>
      </w:r>
      <w:r w:rsidRPr="00BD1149">
        <w:rPr>
          <w:rFonts w:ascii="Arial" w:hAnsi="Arial" w:cs="Arial"/>
          <w:lang w:val="es-419"/>
        </w:rPr>
        <w:t>,</w:t>
      </w:r>
      <w:r w:rsidR="006E0AD8" w:rsidRPr="00BD1149">
        <w:rPr>
          <w:rFonts w:ascii="Arial" w:hAnsi="Arial" w:cs="Arial"/>
          <w:lang w:val="es-419"/>
        </w:rPr>
        <w:t xml:space="preserve"> los apercibimientos</w:t>
      </w:r>
      <w:r w:rsidR="00653D3E" w:rsidRPr="00BD1149">
        <w:rPr>
          <w:rFonts w:ascii="Arial" w:hAnsi="Arial" w:cs="Arial"/>
          <w:lang w:val="es-419"/>
        </w:rPr>
        <w:t xml:space="preserve"> únicamente se seguirán registrando en el SIGAPJ, </w:t>
      </w:r>
      <w:r w:rsidR="00A4730B">
        <w:rPr>
          <w:rFonts w:ascii="Arial" w:hAnsi="Arial" w:cs="Arial"/>
          <w:lang w:val="es-419"/>
        </w:rPr>
        <w:t>a razón de</w:t>
      </w:r>
      <w:r w:rsidR="00A018E2" w:rsidRPr="00A018E2">
        <w:rPr>
          <w:rFonts w:ascii="Arial" w:hAnsi="Arial" w:cs="Arial"/>
          <w:lang w:val="es-419"/>
        </w:rPr>
        <w:t xml:space="preserve"> ciertas incompatibilidades para su registro</w:t>
      </w:r>
      <w:r w:rsidR="00A018E2">
        <w:rPr>
          <w:rFonts w:ascii="Arial" w:hAnsi="Arial" w:cs="Arial"/>
          <w:lang w:val="es-419"/>
        </w:rPr>
        <w:t xml:space="preserve"> en SICOP</w:t>
      </w:r>
      <w:r w:rsidR="00F16A80">
        <w:rPr>
          <w:rFonts w:ascii="Arial" w:hAnsi="Arial" w:cs="Arial"/>
          <w:lang w:val="es-419"/>
        </w:rPr>
        <w:t>; además,</w:t>
      </w:r>
      <w:r w:rsidR="00073125">
        <w:rPr>
          <w:rFonts w:ascii="Arial" w:hAnsi="Arial" w:cs="Arial"/>
          <w:lang w:val="es-419"/>
        </w:rPr>
        <w:t xml:space="preserve"> tomando</w:t>
      </w:r>
      <w:r w:rsidR="00A56E81">
        <w:rPr>
          <w:rFonts w:ascii="Arial" w:hAnsi="Arial" w:cs="Arial"/>
          <w:lang w:val="es-419"/>
        </w:rPr>
        <w:t xml:space="preserve"> en cuenta que</w:t>
      </w:r>
      <w:r w:rsidR="00694CA0">
        <w:rPr>
          <w:rFonts w:ascii="Arial" w:hAnsi="Arial" w:cs="Arial"/>
          <w:lang w:val="es-419"/>
        </w:rPr>
        <w:t xml:space="preserve"> </w:t>
      </w:r>
      <w:r w:rsidR="00A018E2" w:rsidRPr="00A018E2">
        <w:rPr>
          <w:rFonts w:ascii="Arial" w:hAnsi="Arial" w:cs="Arial"/>
          <w:lang w:val="es-419"/>
        </w:rPr>
        <w:t xml:space="preserve">próximamente </w:t>
      </w:r>
      <w:r w:rsidR="00EE4E11" w:rsidRPr="00A018E2">
        <w:rPr>
          <w:rFonts w:ascii="Arial" w:hAnsi="Arial" w:cs="Arial"/>
          <w:lang w:val="es-419"/>
        </w:rPr>
        <w:t>entrará en vigor</w:t>
      </w:r>
      <w:r w:rsidR="00A018E2" w:rsidRPr="00A018E2">
        <w:rPr>
          <w:rFonts w:ascii="Arial" w:hAnsi="Arial" w:cs="Arial"/>
          <w:lang w:val="es-419"/>
        </w:rPr>
        <w:t xml:space="preserve"> la Nueva Ley de Contratación Pública</w:t>
      </w:r>
      <w:r w:rsidR="002E5B3D">
        <w:rPr>
          <w:rFonts w:ascii="Arial" w:hAnsi="Arial" w:cs="Arial"/>
          <w:lang w:val="es-419"/>
        </w:rPr>
        <w:t xml:space="preserve"> en la cual </w:t>
      </w:r>
      <w:r w:rsidR="00A018E2" w:rsidRPr="00A018E2">
        <w:rPr>
          <w:rFonts w:ascii="Arial" w:hAnsi="Arial" w:cs="Arial"/>
          <w:lang w:val="es-419"/>
        </w:rPr>
        <w:t xml:space="preserve">solo </w:t>
      </w:r>
      <w:r w:rsidR="00073125">
        <w:rPr>
          <w:rFonts w:ascii="Arial" w:hAnsi="Arial" w:cs="Arial"/>
          <w:lang w:val="es-419"/>
        </w:rPr>
        <w:t xml:space="preserve">se van a </w:t>
      </w:r>
      <w:r w:rsidR="00A018E2" w:rsidRPr="00A018E2">
        <w:rPr>
          <w:rFonts w:ascii="Arial" w:hAnsi="Arial" w:cs="Arial"/>
          <w:lang w:val="es-419"/>
        </w:rPr>
        <w:t>contempla</w:t>
      </w:r>
      <w:r w:rsidR="00F16A80">
        <w:rPr>
          <w:rFonts w:ascii="Arial" w:hAnsi="Arial" w:cs="Arial"/>
          <w:lang w:val="es-419"/>
        </w:rPr>
        <w:t>r las</w:t>
      </w:r>
      <w:r w:rsidR="00A018E2" w:rsidRPr="00A018E2">
        <w:rPr>
          <w:rFonts w:ascii="Arial" w:hAnsi="Arial" w:cs="Arial"/>
          <w:lang w:val="es-419"/>
        </w:rPr>
        <w:t xml:space="preserve"> sanciones de inhabilitación.</w:t>
      </w:r>
    </w:p>
    <w:p w14:paraId="4F57076D" w14:textId="61C183F9" w:rsidR="00EB2E48" w:rsidRPr="00BD1149" w:rsidRDefault="00F553B8" w:rsidP="00BD1149">
      <w:pPr>
        <w:jc w:val="both"/>
        <w:rPr>
          <w:rFonts w:ascii="Arial" w:hAnsi="Arial" w:cs="Arial"/>
          <w:lang w:val="es-419"/>
        </w:rPr>
      </w:pPr>
      <w:r w:rsidRPr="00BD1149">
        <w:rPr>
          <w:rFonts w:ascii="Arial" w:hAnsi="Arial" w:cs="Arial"/>
          <w:lang w:val="es-419"/>
        </w:rPr>
        <w:t xml:space="preserve">A </w:t>
      </w:r>
      <w:r w:rsidR="008212F4" w:rsidRPr="00BD1149">
        <w:rPr>
          <w:rFonts w:ascii="Arial" w:hAnsi="Arial" w:cs="Arial"/>
          <w:lang w:val="es-419"/>
        </w:rPr>
        <w:t>continuación,</w:t>
      </w:r>
      <w:r w:rsidRPr="00BD1149">
        <w:rPr>
          <w:rFonts w:ascii="Arial" w:hAnsi="Arial" w:cs="Arial"/>
          <w:lang w:val="es-419"/>
        </w:rPr>
        <w:t xml:space="preserve"> se detalla el procedimiento a seguir para ejecutar la consulta: </w:t>
      </w:r>
    </w:p>
    <w:p w14:paraId="15F0F1CE" w14:textId="42E1081F" w:rsidR="00A51FD0" w:rsidRPr="00BD1149" w:rsidRDefault="008D7CD4" w:rsidP="00BD1149">
      <w:pPr>
        <w:jc w:val="both"/>
        <w:rPr>
          <w:rFonts w:ascii="Arial" w:hAnsi="Arial" w:cs="Arial"/>
          <w:lang w:val="es-419"/>
        </w:rPr>
      </w:pPr>
      <w:r w:rsidRPr="00BD1149">
        <w:rPr>
          <w:rFonts w:ascii="Arial" w:hAnsi="Arial" w:cs="Arial"/>
          <w:lang w:val="es-419"/>
        </w:rPr>
        <w:t xml:space="preserve">Una vez ingresado al sitio web de SICOP deberán: </w:t>
      </w:r>
    </w:p>
    <w:p w14:paraId="68C846C3" w14:textId="34A0BABD" w:rsidR="00A51FD0" w:rsidRPr="00BD1149" w:rsidRDefault="00243EE4" w:rsidP="00BD114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D1149">
        <w:rPr>
          <w:rFonts w:ascii="Arial" w:hAnsi="Arial" w:cs="Arial"/>
          <w:lang w:val="es-419"/>
        </w:rPr>
        <w:t>Seleccionar e</w:t>
      </w:r>
      <w:r w:rsidR="00A51FD0" w:rsidRPr="00BD1149">
        <w:rPr>
          <w:rFonts w:ascii="Arial" w:hAnsi="Arial" w:cs="Arial"/>
          <w:lang w:val="es-419"/>
        </w:rPr>
        <w:t xml:space="preserve">l enlace </w:t>
      </w:r>
      <w:r w:rsidR="00A51FD0" w:rsidRPr="00BD1149">
        <w:rPr>
          <w:rFonts w:ascii="Arial" w:hAnsi="Arial" w:cs="Arial"/>
        </w:rPr>
        <w:t> </w:t>
      </w:r>
      <w:hyperlink r:id="rId11" w:history="1">
        <w:r w:rsidR="00A51FD0" w:rsidRPr="00BD1149">
          <w:rPr>
            <w:rStyle w:val="Hipervnculo"/>
            <w:rFonts w:ascii="Arial" w:hAnsi="Arial" w:cs="Arial"/>
            <w:b/>
            <w:bCs/>
          </w:rPr>
          <w:t>Consulta de Proveedores</w:t>
        </w:r>
      </w:hyperlink>
      <w:r w:rsidR="00A51FD0" w:rsidRPr="00BD1149">
        <w:rPr>
          <w:rFonts w:ascii="Arial" w:hAnsi="Arial" w:cs="Arial"/>
        </w:rPr>
        <w:t> </w:t>
      </w:r>
    </w:p>
    <w:p w14:paraId="52D26129" w14:textId="77777777" w:rsidR="00A51FD0" w:rsidRPr="00BD1149" w:rsidRDefault="00A51FD0" w:rsidP="00BD1149">
      <w:pPr>
        <w:pStyle w:val="Prrafodelista"/>
        <w:jc w:val="both"/>
        <w:rPr>
          <w:rFonts w:ascii="Arial" w:hAnsi="Arial" w:cs="Arial"/>
        </w:rPr>
      </w:pPr>
    </w:p>
    <w:p w14:paraId="46B9C832" w14:textId="188F6D4B" w:rsidR="00A51FD0" w:rsidRPr="00BD1149" w:rsidRDefault="00A51FD0" w:rsidP="00BD1149">
      <w:pPr>
        <w:pStyle w:val="Prrafodelista"/>
        <w:ind w:left="0"/>
        <w:jc w:val="center"/>
        <w:rPr>
          <w:rFonts w:ascii="Arial" w:hAnsi="Arial" w:cs="Arial"/>
        </w:rPr>
      </w:pPr>
      <w:r w:rsidRPr="00BD1149">
        <w:rPr>
          <w:rFonts w:ascii="Arial" w:hAnsi="Arial" w:cs="Arial"/>
          <w:noProof/>
        </w:rPr>
        <w:drawing>
          <wp:inline distT="0" distB="0" distL="0" distR="0" wp14:anchorId="5160A18C" wp14:editId="520D3D8B">
            <wp:extent cx="6004560" cy="891443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9664" cy="92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9D7E7" w14:textId="77777777" w:rsidR="00A51FD0" w:rsidRPr="00BD1149" w:rsidRDefault="00A51FD0" w:rsidP="00BD1149">
      <w:pPr>
        <w:pStyle w:val="Prrafodelista"/>
        <w:jc w:val="both"/>
        <w:rPr>
          <w:rFonts w:ascii="Arial" w:hAnsi="Arial" w:cs="Arial"/>
        </w:rPr>
      </w:pPr>
    </w:p>
    <w:p w14:paraId="5006D5CE" w14:textId="4E6B5A60" w:rsidR="00A51FD0" w:rsidRPr="00BD1149" w:rsidRDefault="00A51FD0" w:rsidP="00BD114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D1149">
        <w:rPr>
          <w:rFonts w:ascii="Arial" w:hAnsi="Arial" w:cs="Arial"/>
        </w:rPr>
        <w:t>Digit</w:t>
      </w:r>
      <w:r w:rsidR="006E6739" w:rsidRPr="00BD1149">
        <w:rPr>
          <w:rFonts w:ascii="Arial" w:hAnsi="Arial" w:cs="Arial"/>
        </w:rPr>
        <w:t>ar</w:t>
      </w:r>
      <w:r w:rsidRPr="00BD1149">
        <w:rPr>
          <w:rFonts w:ascii="Arial" w:hAnsi="Arial" w:cs="Arial"/>
        </w:rPr>
        <w:t xml:space="preserve"> una aproximación del nombre o cédula de identidad</w:t>
      </w:r>
      <w:r w:rsidR="006E6739" w:rsidRPr="00BD1149">
        <w:rPr>
          <w:rFonts w:ascii="Arial" w:hAnsi="Arial" w:cs="Arial"/>
        </w:rPr>
        <w:t xml:space="preserve"> de la empresa proveedora</w:t>
      </w:r>
      <w:r w:rsidRPr="00BD1149">
        <w:rPr>
          <w:rFonts w:ascii="Arial" w:hAnsi="Arial" w:cs="Arial"/>
        </w:rPr>
        <w:t xml:space="preserve"> y seguido “</w:t>
      </w:r>
      <w:r w:rsidRPr="00BD1149">
        <w:rPr>
          <w:rFonts w:ascii="Arial" w:hAnsi="Arial" w:cs="Arial"/>
          <w:b/>
          <w:bCs/>
        </w:rPr>
        <w:t>Consultar</w:t>
      </w:r>
      <w:r w:rsidRPr="00BD1149">
        <w:rPr>
          <w:rFonts w:ascii="Arial" w:hAnsi="Arial" w:cs="Arial"/>
        </w:rPr>
        <w:t>”.</w:t>
      </w:r>
    </w:p>
    <w:p w14:paraId="7729AB3B" w14:textId="2FD0A0B0" w:rsidR="00A51FD0" w:rsidRPr="00BD1149" w:rsidRDefault="00A51FD0" w:rsidP="00BD1149">
      <w:pPr>
        <w:jc w:val="center"/>
        <w:rPr>
          <w:rFonts w:ascii="Arial" w:hAnsi="Arial" w:cs="Arial"/>
        </w:rPr>
      </w:pPr>
      <w:r w:rsidRPr="00BD1149">
        <w:rPr>
          <w:rFonts w:ascii="Arial" w:hAnsi="Arial" w:cs="Arial"/>
          <w:noProof/>
        </w:rPr>
        <w:lastRenderedPageBreak/>
        <w:drawing>
          <wp:inline distT="0" distB="0" distL="0" distR="0" wp14:anchorId="7520DA61" wp14:editId="1C931EB3">
            <wp:extent cx="5400040" cy="159829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17264" w14:textId="1281D0EB" w:rsidR="006E6739" w:rsidRPr="00BD1149" w:rsidRDefault="00A51FD0" w:rsidP="00BD114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D1149">
        <w:rPr>
          <w:rFonts w:ascii="Arial" w:hAnsi="Arial" w:cs="Arial"/>
        </w:rPr>
        <w:t>Una vez que tenga identificada la empresa, debe presionar sobre el número de cédula de Identificación</w:t>
      </w:r>
      <w:r w:rsidR="006E6739" w:rsidRPr="00BD1149">
        <w:rPr>
          <w:rFonts w:ascii="Arial" w:hAnsi="Arial" w:cs="Arial"/>
        </w:rPr>
        <w:t>.</w:t>
      </w:r>
    </w:p>
    <w:p w14:paraId="060EF334" w14:textId="77777777" w:rsidR="006E6739" w:rsidRPr="00BD1149" w:rsidRDefault="006E6739" w:rsidP="00BD1149">
      <w:pPr>
        <w:pStyle w:val="Prrafodelista"/>
        <w:jc w:val="both"/>
        <w:rPr>
          <w:rFonts w:ascii="Arial" w:hAnsi="Arial" w:cs="Arial"/>
        </w:rPr>
      </w:pPr>
    </w:p>
    <w:p w14:paraId="158F6B60" w14:textId="08FE32EE" w:rsidR="006E6739" w:rsidRPr="00BD1149" w:rsidRDefault="006E6739" w:rsidP="00BD1149">
      <w:pPr>
        <w:pStyle w:val="Prrafodelista"/>
        <w:jc w:val="both"/>
        <w:rPr>
          <w:rFonts w:ascii="Arial" w:hAnsi="Arial" w:cs="Arial"/>
        </w:rPr>
      </w:pPr>
      <w:r w:rsidRPr="00BD1149">
        <w:rPr>
          <w:rFonts w:ascii="Arial" w:hAnsi="Arial" w:cs="Arial"/>
          <w:noProof/>
        </w:rPr>
        <w:drawing>
          <wp:inline distT="0" distB="0" distL="0" distR="0" wp14:anchorId="6CD44065" wp14:editId="63DA3512">
            <wp:extent cx="3479509" cy="604520"/>
            <wp:effectExtent l="0" t="0" r="6985" b="5080"/>
            <wp:docPr id="11" name="Imagen 10" descr="Interfaz de usuario gráfica, Aplicación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B24A1A22-664E-4C5B-B8B4-C6C607B4F8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Interfaz de usuario gráfica, Aplicación&#10;&#10;Descripción generada automáticamente">
                      <a:extLst>
                        <a:ext uri="{FF2B5EF4-FFF2-40B4-BE49-F238E27FC236}">
                          <a16:creationId xmlns:a16="http://schemas.microsoft.com/office/drawing/2014/main" id="{B24A1A22-664E-4C5B-B8B4-C6C607B4F8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3639" cy="60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94D4" w14:textId="77777777" w:rsidR="006E6739" w:rsidRPr="00BD1149" w:rsidRDefault="006E6739" w:rsidP="00BD1149">
      <w:pPr>
        <w:pStyle w:val="Prrafodelista"/>
        <w:jc w:val="both"/>
        <w:rPr>
          <w:rFonts w:ascii="Arial" w:hAnsi="Arial" w:cs="Arial"/>
        </w:rPr>
      </w:pPr>
    </w:p>
    <w:p w14:paraId="71B156A0" w14:textId="3A3A021F" w:rsidR="00A51FD0" w:rsidRPr="00BD1149" w:rsidRDefault="006E6739" w:rsidP="00BD114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D1149">
        <w:rPr>
          <w:rFonts w:ascii="Arial" w:hAnsi="Arial" w:cs="Arial"/>
        </w:rPr>
        <w:t>El sistema carga</w:t>
      </w:r>
      <w:r w:rsidR="00243EE4" w:rsidRPr="00BD1149">
        <w:rPr>
          <w:rFonts w:ascii="Arial" w:hAnsi="Arial" w:cs="Arial"/>
        </w:rPr>
        <w:t>rá</w:t>
      </w:r>
      <w:r w:rsidRPr="00BD1149">
        <w:rPr>
          <w:rFonts w:ascii="Arial" w:hAnsi="Arial" w:cs="Arial"/>
        </w:rPr>
        <w:t xml:space="preserve"> la </w:t>
      </w:r>
      <w:r w:rsidRPr="00BD1149">
        <w:rPr>
          <w:rFonts w:ascii="Arial" w:hAnsi="Arial" w:cs="Arial"/>
          <w:b/>
          <w:bCs/>
        </w:rPr>
        <w:t xml:space="preserve">Información de Registro de </w:t>
      </w:r>
      <w:r w:rsidR="00243EE4" w:rsidRPr="00BD1149">
        <w:rPr>
          <w:rFonts w:ascii="Arial" w:hAnsi="Arial" w:cs="Arial"/>
          <w:b/>
          <w:bCs/>
        </w:rPr>
        <w:t>Proveedor</w:t>
      </w:r>
      <w:r w:rsidR="00243EE4" w:rsidRPr="00BD1149">
        <w:rPr>
          <w:rFonts w:ascii="Arial" w:hAnsi="Arial" w:cs="Arial"/>
        </w:rPr>
        <w:t xml:space="preserve">, en la pestaña </w:t>
      </w:r>
      <w:r w:rsidR="00A51FD0" w:rsidRPr="00BD1149">
        <w:rPr>
          <w:rFonts w:ascii="Arial" w:hAnsi="Arial" w:cs="Arial"/>
        </w:rPr>
        <w:t>“</w:t>
      </w:r>
      <w:r w:rsidR="00A51FD0" w:rsidRPr="00BD1149">
        <w:rPr>
          <w:rFonts w:ascii="Arial" w:hAnsi="Arial" w:cs="Arial"/>
          <w:b/>
          <w:bCs/>
        </w:rPr>
        <w:t>Historial de apercibimiento e inhabilitación</w:t>
      </w:r>
      <w:r w:rsidR="00A51FD0" w:rsidRPr="00BD1149">
        <w:rPr>
          <w:rFonts w:ascii="Arial" w:hAnsi="Arial" w:cs="Arial"/>
        </w:rPr>
        <w:t>”</w:t>
      </w:r>
      <w:r w:rsidR="00243EE4" w:rsidRPr="00BD1149">
        <w:rPr>
          <w:rFonts w:ascii="Arial" w:hAnsi="Arial" w:cs="Arial"/>
        </w:rPr>
        <w:t xml:space="preserve"> se mostrará el tipo, el estado y periodo de dicha sanción.</w:t>
      </w:r>
      <w:r w:rsidRPr="00BD1149">
        <w:rPr>
          <w:rFonts w:ascii="Arial" w:hAnsi="Arial" w:cs="Arial"/>
        </w:rPr>
        <w:t xml:space="preserve"> </w:t>
      </w:r>
    </w:p>
    <w:p w14:paraId="07F53C2B" w14:textId="1F1F9E52" w:rsidR="00A51FD0" w:rsidRPr="00BD1149" w:rsidRDefault="006E6739" w:rsidP="00BD1149">
      <w:pPr>
        <w:pStyle w:val="Prrafodelista"/>
        <w:jc w:val="center"/>
        <w:rPr>
          <w:rFonts w:ascii="Arial" w:hAnsi="Arial" w:cs="Arial"/>
        </w:rPr>
      </w:pPr>
      <w:r w:rsidRPr="00BD1149">
        <w:rPr>
          <w:rFonts w:ascii="Arial" w:hAnsi="Arial" w:cs="Arial"/>
          <w:noProof/>
        </w:rPr>
        <w:drawing>
          <wp:inline distT="0" distB="0" distL="0" distR="0" wp14:anchorId="51DB6B66" wp14:editId="69B40F87">
            <wp:extent cx="4776787" cy="528599"/>
            <wp:effectExtent l="0" t="0" r="5080" b="5080"/>
            <wp:docPr id="12" name="Imagen 11">
              <a:extLst xmlns:a="http://schemas.openxmlformats.org/drawingml/2006/main">
                <a:ext uri="{FF2B5EF4-FFF2-40B4-BE49-F238E27FC236}">
                  <a16:creationId xmlns:a16="http://schemas.microsoft.com/office/drawing/2014/main" id="{790B7D12-F15F-4AA5-8E10-2C61332623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>
                      <a:extLst>
                        <a:ext uri="{FF2B5EF4-FFF2-40B4-BE49-F238E27FC236}">
                          <a16:creationId xmlns:a16="http://schemas.microsoft.com/office/drawing/2014/main" id="{790B7D12-F15F-4AA5-8E10-2C61332623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6787" cy="5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5F99" w14:textId="4CC464AF" w:rsidR="006E6739" w:rsidRPr="00BD1149" w:rsidRDefault="006E6739" w:rsidP="00BD1149">
      <w:pPr>
        <w:pStyle w:val="Prrafodelista"/>
        <w:jc w:val="center"/>
        <w:rPr>
          <w:rFonts w:ascii="Arial" w:hAnsi="Arial" w:cs="Arial"/>
        </w:rPr>
      </w:pPr>
      <w:r w:rsidRPr="00BD1149">
        <w:rPr>
          <w:rFonts w:ascii="Arial" w:hAnsi="Arial" w:cs="Arial"/>
          <w:noProof/>
        </w:rPr>
        <w:drawing>
          <wp:inline distT="0" distB="0" distL="0" distR="0" wp14:anchorId="727E0995" wp14:editId="7FF88412">
            <wp:extent cx="5400040" cy="510540"/>
            <wp:effectExtent l="0" t="0" r="0" b="381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DF32E062-3678-4898-B00C-A8CBDB7125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DF32E062-3678-4898-B00C-A8CBDB7125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76C5C" w14:textId="2614FE08" w:rsidR="006E6739" w:rsidRDefault="00243EE4" w:rsidP="00BD114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D1149">
        <w:rPr>
          <w:rFonts w:ascii="Arial" w:hAnsi="Arial" w:cs="Arial"/>
        </w:rPr>
        <w:t xml:space="preserve">Es responsabilidad de la persona analista de guardar la consulta </w:t>
      </w:r>
      <w:r w:rsidR="006E6739" w:rsidRPr="00BD1149">
        <w:rPr>
          <w:rFonts w:ascii="Arial" w:hAnsi="Arial" w:cs="Arial"/>
        </w:rPr>
        <w:t>en el expediente</w:t>
      </w:r>
      <w:r w:rsidRPr="00BD1149">
        <w:rPr>
          <w:rFonts w:ascii="Arial" w:hAnsi="Arial" w:cs="Arial"/>
        </w:rPr>
        <w:t xml:space="preserve"> de contratación</w:t>
      </w:r>
      <w:r w:rsidR="006E6739" w:rsidRPr="00BD1149">
        <w:rPr>
          <w:rFonts w:ascii="Arial" w:hAnsi="Arial" w:cs="Arial"/>
        </w:rPr>
        <w:t xml:space="preserve">. </w:t>
      </w:r>
    </w:p>
    <w:p w14:paraId="5E46B223" w14:textId="77777777" w:rsidR="007F4062" w:rsidRPr="007F4062" w:rsidRDefault="007F4062" w:rsidP="007F4062">
      <w:pPr>
        <w:spacing w:line="360" w:lineRule="auto"/>
        <w:ind w:left="360"/>
        <w:jc w:val="both"/>
        <w:rPr>
          <w:rFonts w:ascii="Arial" w:hAnsi="Arial" w:cs="Arial"/>
        </w:rPr>
      </w:pPr>
    </w:p>
    <w:p w14:paraId="592CCCD1" w14:textId="77777777" w:rsidR="007F4062" w:rsidRPr="007F4062" w:rsidRDefault="007F4062" w:rsidP="007F4062">
      <w:pPr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14:paraId="26BA618B" w14:textId="77777777" w:rsidR="007F4062" w:rsidRPr="007F4062" w:rsidRDefault="007F4062" w:rsidP="007F4062">
      <w:pPr>
        <w:pBdr>
          <w:bottom w:val="single" w:sz="12" w:space="1" w:color="auto"/>
        </w:pBdr>
        <w:ind w:left="360" w:right="697"/>
        <w:jc w:val="both"/>
        <w:rPr>
          <w:rFonts w:ascii="Calibri" w:hAnsi="Calibri"/>
        </w:rPr>
      </w:pPr>
    </w:p>
    <w:p w14:paraId="573CCF63" w14:textId="77777777" w:rsidR="007F4062" w:rsidRPr="007F4062" w:rsidRDefault="007F4062" w:rsidP="007F4062">
      <w:pPr>
        <w:pBdr>
          <w:bottom w:val="single" w:sz="12" w:space="1" w:color="auto"/>
        </w:pBdr>
        <w:ind w:left="360" w:right="697"/>
        <w:jc w:val="both"/>
        <w:rPr>
          <w:rFonts w:ascii="Calibri" w:hAnsi="Calibri"/>
        </w:rPr>
      </w:pPr>
    </w:p>
    <w:p w14:paraId="52ECE427" w14:textId="77777777" w:rsidR="007F4062" w:rsidRPr="007F4062" w:rsidRDefault="007F4062" w:rsidP="007F4062">
      <w:pPr>
        <w:tabs>
          <w:tab w:val="left" w:pos="567"/>
        </w:tabs>
        <w:ind w:left="360"/>
        <w:jc w:val="both"/>
        <w:rPr>
          <w:rFonts w:ascii="Calibri" w:hAnsi="Calibri"/>
          <w:sz w:val="10"/>
        </w:rPr>
      </w:pPr>
    </w:p>
    <w:p w14:paraId="64F9882E" w14:textId="77777777" w:rsidR="007F4062" w:rsidRPr="007F4062" w:rsidRDefault="007F4062" w:rsidP="007F4062">
      <w:pPr>
        <w:ind w:left="360"/>
        <w:rPr>
          <w:rFonts w:ascii="Calibri" w:hAnsi="Calibri"/>
          <w:sz w:val="14"/>
          <w:szCs w:val="16"/>
          <w:lang w:val="es-CR"/>
        </w:rPr>
      </w:pPr>
      <w:r w:rsidRPr="007F4062">
        <w:rPr>
          <w:rFonts w:ascii="Wingdings" w:hAnsi="Wingdings" w:cs="Wingdings"/>
          <w:szCs w:val="26"/>
          <w:lang w:val="es-CR"/>
        </w:rPr>
        <w:t></w:t>
      </w:r>
      <w:r w:rsidRPr="007F4062">
        <w:rPr>
          <w:rFonts w:ascii="Calibri" w:hAnsi="Calibri"/>
          <w:b/>
          <w:sz w:val="14"/>
          <w:szCs w:val="16"/>
          <w:lang w:val="es-CR"/>
        </w:rPr>
        <w:t>Elaborado por:</w:t>
      </w:r>
      <w:r w:rsidRPr="007F4062">
        <w:rPr>
          <w:rFonts w:ascii="Calibri" w:hAnsi="Calibri"/>
          <w:sz w:val="14"/>
          <w:szCs w:val="16"/>
          <w:lang w:val="es-CR"/>
        </w:rPr>
        <w:t xml:space="preserve"> Licda. Farine Monge Salas</w:t>
      </w:r>
    </w:p>
    <w:p w14:paraId="4F2F2261" w14:textId="77777777" w:rsidR="007F4062" w:rsidRPr="00BD1149" w:rsidRDefault="007F4062" w:rsidP="007F4062">
      <w:pPr>
        <w:pStyle w:val="Prrafodelista"/>
        <w:jc w:val="both"/>
        <w:rPr>
          <w:rFonts w:ascii="Arial" w:hAnsi="Arial" w:cs="Arial"/>
        </w:rPr>
      </w:pPr>
    </w:p>
    <w:sectPr w:rsidR="007F4062" w:rsidRPr="00BD1149" w:rsidSect="00243EE4">
      <w:headerReference w:type="default" r:id="rId17"/>
      <w:pgSz w:w="11906" w:h="16838"/>
      <w:pgMar w:top="851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502F" w14:textId="77777777" w:rsidR="00A51FD0" w:rsidRDefault="00A51FD0" w:rsidP="00A51FD0">
      <w:pPr>
        <w:spacing w:after="0" w:line="240" w:lineRule="auto"/>
      </w:pPr>
      <w:r>
        <w:separator/>
      </w:r>
    </w:p>
  </w:endnote>
  <w:endnote w:type="continuationSeparator" w:id="0">
    <w:p w14:paraId="42E66799" w14:textId="77777777" w:rsidR="00A51FD0" w:rsidRDefault="00A51FD0" w:rsidP="00A5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282" w14:textId="77777777" w:rsidR="00A51FD0" w:rsidRDefault="00A51FD0" w:rsidP="00A51FD0">
      <w:pPr>
        <w:spacing w:after="0" w:line="240" w:lineRule="auto"/>
      </w:pPr>
      <w:r>
        <w:separator/>
      </w:r>
    </w:p>
  </w:footnote>
  <w:footnote w:type="continuationSeparator" w:id="0">
    <w:p w14:paraId="3961D0BD" w14:textId="77777777" w:rsidR="00A51FD0" w:rsidRDefault="00A51FD0" w:rsidP="00A5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995F" w14:textId="08D319E7" w:rsidR="00A51FD0" w:rsidRPr="004A7795" w:rsidRDefault="004A7795" w:rsidP="004A7795">
    <w:pPr>
      <w:pStyle w:val="Encabezado"/>
    </w:pPr>
    <w:r>
      <w:rPr>
        <w:rFonts w:ascii="Calibri" w:hAnsi="Calibri"/>
        <w:noProof/>
      </w:rPr>
      <w:drawing>
        <wp:inline distT="0" distB="0" distL="0" distR="0" wp14:anchorId="6B020E1F" wp14:editId="748AB873">
          <wp:extent cx="5759450" cy="882650"/>
          <wp:effectExtent l="0" t="0" r="0" b="0"/>
          <wp:docPr id="6" name="Imagen 6" descr="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Flech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47D"/>
    <w:multiLevelType w:val="hybridMultilevel"/>
    <w:tmpl w:val="0F9E5E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6B98"/>
    <w:multiLevelType w:val="hybridMultilevel"/>
    <w:tmpl w:val="0F2E93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434A"/>
    <w:multiLevelType w:val="hybridMultilevel"/>
    <w:tmpl w:val="632E6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738D9"/>
    <w:multiLevelType w:val="hybridMultilevel"/>
    <w:tmpl w:val="A8C647B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D4AA3"/>
    <w:multiLevelType w:val="hybridMultilevel"/>
    <w:tmpl w:val="FA66E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5415">
    <w:abstractNumId w:val="2"/>
  </w:num>
  <w:num w:numId="2" w16cid:durableId="1110199261">
    <w:abstractNumId w:val="4"/>
  </w:num>
  <w:num w:numId="3" w16cid:durableId="1657800654">
    <w:abstractNumId w:val="1"/>
  </w:num>
  <w:num w:numId="4" w16cid:durableId="1638485406">
    <w:abstractNumId w:val="0"/>
  </w:num>
  <w:num w:numId="5" w16cid:durableId="1382559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D0"/>
    <w:rsid w:val="00073125"/>
    <w:rsid w:val="00087E07"/>
    <w:rsid w:val="000A0D91"/>
    <w:rsid w:val="00113356"/>
    <w:rsid w:val="00243EE4"/>
    <w:rsid w:val="00284966"/>
    <w:rsid w:val="002E5B3D"/>
    <w:rsid w:val="002E6CD8"/>
    <w:rsid w:val="00411F1E"/>
    <w:rsid w:val="004A7795"/>
    <w:rsid w:val="004F73E2"/>
    <w:rsid w:val="005C73E3"/>
    <w:rsid w:val="005E5286"/>
    <w:rsid w:val="0061745F"/>
    <w:rsid w:val="00646279"/>
    <w:rsid w:val="00653D3E"/>
    <w:rsid w:val="0065646E"/>
    <w:rsid w:val="00676D3F"/>
    <w:rsid w:val="00694CA0"/>
    <w:rsid w:val="006E0AD8"/>
    <w:rsid w:val="006E6739"/>
    <w:rsid w:val="00713AC5"/>
    <w:rsid w:val="00795BFC"/>
    <w:rsid w:val="007D55B3"/>
    <w:rsid w:val="007F4062"/>
    <w:rsid w:val="008174DC"/>
    <w:rsid w:val="008212F4"/>
    <w:rsid w:val="0082725F"/>
    <w:rsid w:val="00882B33"/>
    <w:rsid w:val="008C24FF"/>
    <w:rsid w:val="008D7CD4"/>
    <w:rsid w:val="00955B46"/>
    <w:rsid w:val="00A018E2"/>
    <w:rsid w:val="00A2398E"/>
    <w:rsid w:val="00A4730B"/>
    <w:rsid w:val="00A51FD0"/>
    <w:rsid w:val="00A56E81"/>
    <w:rsid w:val="00B31348"/>
    <w:rsid w:val="00B61FDD"/>
    <w:rsid w:val="00BD1149"/>
    <w:rsid w:val="00BE5A44"/>
    <w:rsid w:val="00C13D5E"/>
    <w:rsid w:val="00C67AEB"/>
    <w:rsid w:val="00CC3372"/>
    <w:rsid w:val="00EB2E48"/>
    <w:rsid w:val="00EE4E11"/>
    <w:rsid w:val="00F16A80"/>
    <w:rsid w:val="00F2484E"/>
    <w:rsid w:val="00F553B8"/>
    <w:rsid w:val="00F82047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4757F"/>
  <w15:chartTrackingRefBased/>
  <w15:docId w15:val="{8ECDE4D3-0CB8-43F3-838E-D845BAD2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D0"/>
  </w:style>
  <w:style w:type="paragraph" w:styleId="Piedepgina">
    <w:name w:val="footer"/>
    <w:basedOn w:val="Normal"/>
    <w:link w:val="PiedepginaCar"/>
    <w:uiPriority w:val="99"/>
    <w:unhideWhenUsed/>
    <w:rsid w:val="00A5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D0"/>
  </w:style>
  <w:style w:type="character" w:styleId="Hipervnculo">
    <w:name w:val="Hyperlink"/>
    <w:basedOn w:val="Fuentedeprrafopredeter"/>
    <w:uiPriority w:val="99"/>
    <w:unhideWhenUsed/>
    <w:rsid w:val="00A51F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1FD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51F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E6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7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cop.go.cr/portal/fm/PT_FMJ_TFQ001.jsp?user_cls=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://www.sicop.go.c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5" ma:contentTypeDescription="Crear nuevo documento." ma:contentTypeScope="" ma:versionID="491c70e1f93fbeced75b66785cff4341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054690ec8184e8c08782635aeb93a222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72979-679a-45af-8564-a3577169cbaf">
      <Terms xmlns="http://schemas.microsoft.com/office/infopath/2007/PartnerControls"/>
    </lcf76f155ced4ddcb4097134ff3c332f>
    <TaxCatchAll xmlns="549c71b7-aadd-438e-a439-516e107c46f0" xsi:nil="true"/>
  </documentManagement>
</p:properties>
</file>

<file path=customXml/itemProps1.xml><?xml version="1.0" encoding="utf-8"?>
<ds:datastoreItem xmlns:ds="http://schemas.openxmlformats.org/officeDocument/2006/customXml" ds:itemID="{0BA76DDB-886C-4F23-8021-2147E5AD0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EFA67-E8CE-4EEC-866A-2EEAC85D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72979-679a-45af-8564-a3577169cbaf"/>
    <ds:schemaRef ds:uri="549c71b7-aadd-438e-a439-516e107c4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C3B78-72B5-4D0E-93BC-B0AF58FCA7C3}">
  <ds:schemaRefs>
    <ds:schemaRef ds:uri="http://schemas.microsoft.com/office/2006/metadata/properties"/>
    <ds:schemaRef ds:uri="http://schemas.microsoft.com/office/infopath/2007/PartnerControls"/>
    <ds:schemaRef ds:uri="42772979-679a-45af-8564-a3577169cbaf"/>
    <ds:schemaRef ds:uri="549c71b7-aadd-438e-a439-516e107c4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Farine Monge Salas</dc:creator>
  <cp:keywords/>
  <dc:description/>
  <cp:lastModifiedBy>Farine Monge Salas</cp:lastModifiedBy>
  <cp:revision>2</cp:revision>
  <dcterms:created xsi:type="dcterms:W3CDTF">2022-03-30T19:56:00Z</dcterms:created>
  <dcterms:modified xsi:type="dcterms:W3CDTF">2022-03-30T19:56:00Z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