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FB3C" w14:textId="77777777" w:rsidR="00C542B9" w:rsidRPr="00200761" w:rsidRDefault="00C542B9" w:rsidP="00C542B9">
      <w:pPr>
        <w:spacing w:after="0" w:line="240" w:lineRule="auto"/>
        <w:ind w:left="1418" w:hanging="1418"/>
        <w:jc w:val="center"/>
        <w:rPr>
          <w:rFonts w:ascii="Calibri" w:eastAsia="Times New Roman" w:hAnsi="Calibri" w:cs="Times New Roman"/>
          <w:b/>
          <w:sz w:val="24"/>
          <w:szCs w:val="24"/>
          <w:lang w:val="es-ES" w:eastAsia="es-ES"/>
        </w:rPr>
      </w:pPr>
      <w:bookmarkStart w:id="0" w:name="_Hlk15463017"/>
    </w:p>
    <w:p w14:paraId="5E6AF8C6" w14:textId="73C987EF" w:rsidR="00CC39BC" w:rsidRPr="00377299" w:rsidRDefault="00CC39BC" w:rsidP="00C542B9">
      <w:pPr>
        <w:spacing w:after="0" w:line="240" w:lineRule="auto"/>
        <w:ind w:left="1418" w:hanging="1418"/>
        <w:jc w:val="center"/>
        <w:rPr>
          <w:rFonts w:ascii="Calibri" w:eastAsia="Times New Roman" w:hAnsi="Calibri" w:cs="Times New Roman"/>
          <w:b/>
          <w:lang w:val="es-ES" w:eastAsia="es-ES"/>
        </w:rPr>
      </w:pPr>
      <w:r w:rsidRPr="00377299">
        <w:rPr>
          <w:rFonts w:ascii="Calibri" w:eastAsia="Times New Roman" w:hAnsi="Calibri" w:cs="Times New Roman"/>
          <w:b/>
          <w:lang w:val="es-ES" w:eastAsia="es-ES"/>
        </w:rPr>
        <w:t xml:space="preserve">Circular No. </w:t>
      </w:r>
      <w:r w:rsidR="00B60561">
        <w:rPr>
          <w:rFonts w:ascii="Calibri" w:eastAsia="Times New Roman" w:hAnsi="Calibri" w:cs="Times New Roman"/>
          <w:b/>
          <w:lang w:val="es-ES" w:eastAsia="es-ES"/>
        </w:rPr>
        <w:t>49</w:t>
      </w:r>
      <w:r w:rsidRPr="00377299">
        <w:rPr>
          <w:rFonts w:ascii="Calibri" w:eastAsia="Times New Roman" w:hAnsi="Calibri" w:cs="Times New Roman"/>
          <w:b/>
          <w:lang w:val="es-ES" w:eastAsia="es-ES"/>
        </w:rPr>
        <w:t>-</w:t>
      </w:r>
      <w:r w:rsidR="00E2748A" w:rsidRPr="00377299">
        <w:rPr>
          <w:rFonts w:ascii="Calibri" w:eastAsia="Times New Roman" w:hAnsi="Calibri" w:cs="Times New Roman"/>
          <w:b/>
          <w:lang w:val="es-ES" w:eastAsia="es-ES"/>
        </w:rPr>
        <w:t>2020</w:t>
      </w:r>
    </w:p>
    <w:p w14:paraId="48D6A4D0" w14:textId="77777777" w:rsidR="00FB14DC" w:rsidRPr="00377299" w:rsidRDefault="00FB14DC" w:rsidP="007133F3">
      <w:pPr>
        <w:spacing w:after="0" w:line="240" w:lineRule="auto"/>
        <w:rPr>
          <w:rFonts w:ascii="Calibri" w:eastAsia="Times New Roman" w:hAnsi="Calibri" w:cs="Times New Roman"/>
          <w:b/>
          <w:lang w:val="es-ES" w:eastAsia="es-ES"/>
        </w:rPr>
      </w:pPr>
    </w:p>
    <w:p w14:paraId="6D7D9414" w14:textId="51AA0C8A" w:rsidR="00CC39BC" w:rsidRPr="00377299" w:rsidRDefault="00CC39BC" w:rsidP="0095079C">
      <w:pPr>
        <w:spacing w:after="0" w:line="240" w:lineRule="auto"/>
        <w:ind w:left="708"/>
        <w:rPr>
          <w:rFonts w:ascii="Calibri" w:eastAsia="Times New Roman" w:hAnsi="Calibri" w:cs="Times New Roman"/>
          <w:b/>
          <w:lang w:eastAsia="es-ES"/>
        </w:rPr>
      </w:pPr>
      <w:r w:rsidRPr="00377299">
        <w:rPr>
          <w:rFonts w:ascii="Calibri" w:eastAsia="Times New Roman" w:hAnsi="Calibri" w:cs="Times New Roman"/>
          <w:b/>
          <w:lang w:val="es-ES" w:eastAsia="es-ES"/>
        </w:rPr>
        <w:t xml:space="preserve">De:        </w:t>
      </w:r>
      <w:r w:rsidR="00200761" w:rsidRPr="00377299">
        <w:rPr>
          <w:rFonts w:ascii="Calibri" w:eastAsia="Times New Roman" w:hAnsi="Calibri" w:cs="Times New Roman"/>
          <w:b/>
          <w:lang w:val="es-ES" w:eastAsia="es-ES"/>
        </w:rPr>
        <w:t xml:space="preserve">  </w:t>
      </w:r>
      <w:r w:rsidR="00FB14DC" w:rsidRPr="00377299">
        <w:rPr>
          <w:rFonts w:ascii="Calibri" w:eastAsia="Times New Roman" w:hAnsi="Calibri" w:cs="Times New Roman"/>
          <w:b/>
          <w:lang w:val="es-ES" w:eastAsia="es-ES"/>
        </w:rPr>
        <w:t xml:space="preserve"> </w:t>
      </w:r>
      <w:r w:rsidRPr="00377299">
        <w:rPr>
          <w:rFonts w:ascii="Calibri" w:eastAsia="Times New Roman" w:hAnsi="Calibri" w:cs="Times New Roman"/>
          <w:b/>
          <w:lang w:eastAsia="es-ES"/>
        </w:rPr>
        <w:t xml:space="preserve">MBA. </w:t>
      </w:r>
      <w:r w:rsidR="00E2748A" w:rsidRPr="00377299">
        <w:rPr>
          <w:rFonts w:ascii="Calibri" w:eastAsia="Times New Roman" w:hAnsi="Calibri" w:cs="Times New Roman"/>
          <w:b/>
          <w:lang w:eastAsia="es-ES"/>
        </w:rPr>
        <w:t>José Luis Soto Richmond</w:t>
      </w:r>
      <w:r w:rsidRPr="00377299">
        <w:rPr>
          <w:rFonts w:ascii="Calibri" w:eastAsia="Times New Roman" w:hAnsi="Calibri" w:cs="Times New Roman"/>
          <w:b/>
          <w:lang w:eastAsia="es-ES"/>
        </w:rPr>
        <w:t xml:space="preserve">, </w:t>
      </w:r>
      <w:proofErr w:type="gramStart"/>
      <w:r w:rsidRPr="00377299">
        <w:rPr>
          <w:rFonts w:ascii="Calibri" w:eastAsia="Times New Roman" w:hAnsi="Calibri" w:cs="Times New Roman"/>
          <w:b/>
          <w:lang w:eastAsia="es-ES"/>
        </w:rPr>
        <w:t>Jef</w:t>
      </w:r>
      <w:r w:rsidR="00C542B9" w:rsidRPr="00377299">
        <w:rPr>
          <w:rFonts w:ascii="Calibri" w:eastAsia="Times New Roman" w:hAnsi="Calibri" w:cs="Times New Roman"/>
          <w:b/>
          <w:lang w:eastAsia="es-ES"/>
        </w:rPr>
        <w:t>e</w:t>
      </w:r>
      <w:proofErr w:type="gramEnd"/>
      <w:r w:rsidR="000A0CD6" w:rsidRPr="00377299">
        <w:rPr>
          <w:rFonts w:ascii="Calibri" w:eastAsia="Times New Roman" w:hAnsi="Calibri" w:cs="Times New Roman"/>
          <w:b/>
          <w:lang w:eastAsia="es-ES"/>
        </w:rPr>
        <w:t xml:space="preserve"> </w:t>
      </w:r>
      <w:r w:rsidR="00E2748A" w:rsidRPr="00377299">
        <w:rPr>
          <w:rFonts w:ascii="Calibri" w:eastAsia="Times New Roman" w:hAnsi="Calibri" w:cs="Times New Roman"/>
          <w:b/>
          <w:lang w:eastAsia="es-ES"/>
        </w:rPr>
        <w:t>a.í.</w:t>
      </w:r>
    </w:p>
    <w:p w14:paraId="2CA1AB7B" w14:textId="17F2A6A0" w:rsidR="00CC39BC" w:rsidRPr="00377299" w:rsidRDefault="00CC39BC" w:rsidP="00200761">
      <w:pPr>
        <w:spacing w:after="0" w:line="240" w:lineRule="auto"/>
        <w:ind w:left="1842" w:hanging="425"/>
        <w:rPr>
          <w:rFonts w:ascii="Calibri" w:eastAsia="Times New Roman" w:hAnsi="Calibri" w:cs="Times New Roman"/>
          <w:b/>
          <w:lang w:val="es-ES" w:eastAsia="es-ES"/>
        </w:rPr>
      </w:pPr>
      <w:r w:rsidRPr="00377299">
        <w:rPr>
          <w:rFonts w:ascii="Calibri" w:eastAsia="Times New Roman" w:hAnsi="Calibri" w:cs="Times New Roman"/>
          <w:b/>
          <w:lang w:val="es-ES" w:eastAsia="es-ES"/>
        </w:rPr>
        <w:t> </w:t>
      </w:r>
      <w:r w:rsidR="00200761" w:rsidRPr="00377299">
        <w:rPr>
          <w:rFonts w:ascii="Calibri" w:eastAsia="Times New Roman" w:hAnsi="Calibri" w:cs="Times New Roman"/>
          <w:b/>
          <w:lang w:val="es-ES" w:eastAsia="es-ES"/>
        </w:rPr>
        <w:t xml:space="preserve">   </w:t>
      </w:r>
      <w:r w:rsidRPr="00377299">
        <w:rPr>
          <w:rFonts w:ascii="Calibri" w:eastAsia="Times New Roman" w:hAnsi="Calibri" w:cs="Times New Roman"/>
          <w:b/>
          <w:lang w:val="es-ES" w:eastAsia="es-ES"/>
        </w:rPr>
        <w:t>Departamento de Proveeduría</w:t>
      </w:r>
      <w:r w:rsidRPr="00377299">
        <w:rPr>
          <w:rFonts w:ascii="Calibri" w:eastAsia="Times New Roman" w:hAnsi="Calibri" w:cs="Times New Roman"/>
          <w:b/>
          <w:lang w:val="es-ES" w:eastAsia="es-ES"/>
        </w:rPr>
        <w:tab/>
      </w:r>
    </w:p>
    <w:p w14:paraId="3273EED6" w14:textId="77777777" w:rsidR="00200761" w:rsidRPr="00377299" w:rsidRDefault="00200761" w:rsidP="00200761">
      <w:pPr>
        <w:spacing w:after="0" w:line="240" w:lineRule="auto"/>
        <w:ind w:left="1701" w:hanging="987"/>
        <w:jc w:val="both"/>
        <w:rPr>
          <w:rFonts w:ascii="Calibri" w:eastAsia="Times New Roman" w:hAnsi="Calibri" w:cs="Times New Roman"/>
          <w:b/>
          <w:lang w:val="es-ES" w:eastAsia="es-ES"/>
        </w:rPr>
      </w:pPr>
    </w:p>
    <w:p w14:paraId="249E5DD6" w14:textId="641BD6B7" w:rsidR="00200761" w:rsidRPr="00377299" w:rsidRDefault="00200761" w:rsidP="00200761">
      <w:pPr>
        <w:spacing w:after="0" w:line="240" w:lineRule="auto"/>
        <w:ind w:left="1701" w:hanging="987"/>
        <w:jc w:val="both"/>
        <w:rPr>
          <w:rFonts w:ascii="Calibri" w:eastAsia="Times New Roman" w:hAnsi="Calibri" w:cs="Times New Roman"/>
          <w:b/>
          <w:i/>
          <w:lang w:val="es-ES" w:eastAsia="es-ES"/>
        </w:rPr>
      </w:pPr>
      <w:r w:rsidRPr="00377299">
        <w:rPr>
          <w:rFonts w:ascii="Calibri" w:eastAsia="Times New Roman" w:hAnsi="Calibri" w:cs="Times New Roman"/>
          <w:b/>
          <w:lang w:val="es-ES" w:eastAsia="es-ES"/>
        </w:rPr>
        <w:t xml:space="preserve">Para:       </w:t>
      </w:r>
      <w:r w:rsidR="00937906" w:rsidRPr="00377299">
        <w:rPr>
          <w:rFonts w:ascii="Calibri" w:eastAsia="Times New Roman" w:hAnsi="Calibri" w:cs="Times New Roman"/>
          <w:b/>
          <w:lang w:val="es-ES" w:eastAsia="es-ES"/>
        </w:rPr>
        <w:t>Oficinas ejecutoras de presupuesto.</w:t>
      </w:r>
    </w:p>
    <w:p w14:paraId="13EF1B52" w14:textId="77777777" w:rsidR="00200761" w:rsidRPr="00377299" w:rsidRDefault="00200761" w:rsidP="00200761">
      <w:pPr>
        <w:spacing w:after="0" w:line="240" w:lineRule="auto"/>
        <w:rPr>
          <w:rFonts w:ascii="Calibri" w:eastAsia="Times New Roman" w:hAnsi="Calibri" w:cs="Times New Roman"/>
          <w:b/>
          <w:lang w:val="es-ES" w:eastAsia="es-ES"/>
        </w:rPr>
      </w:pPr>
    </w:p>
    <w:p w14:paraId="1F40D907" w14:textId="0B94EBB6" w:rsidR="00B60561" w:rsidRDefault="00CC39BC" w:rsidP="00200761">
      <w:pPr>
        <w:spacing w:after="0" w:line="240" w:lineRule="auto"/>
        <w:ind w:left="1701" w:hanging="987"/>
        <w:jc w:val="both"/>
        <w:rPr>
          <w:rFonts w:ascii="Calibri" w:eastAsia="Times New Roman" w:hAnsi="Calibri" w:cs="Times New Roman"/>
          <w:b/>
          <w:lang w:val="es-ES" w:eastAsia="es-ES"/>
        </w:rPr>
      </w:pPr>
      <w:r w:rsidRPr="00377299">
        <w:rPr>
          <w:rFonts w:ascii="Calibri" w:eastAsia="Times New Roman" w:hAnsi="Calibri" w:cs="Times New Roman"/>
          <w:b/>
          <w:lang w:val="es-ES" w:eastAsia="es-ES"/>
        </w:rPr>
        <w:t>Asunto:</w:t>
      </w:r>
      <w:r w:rsidR="00FB14DC" w:rsidRPr="00377299">
        <w:rPr>
          <w:rFonts w:ascii="Calibri" w:eastAsia="Times New Roman" w:hAnsi="Calibri" w:cs="Times New Roman"/>
          <w:b/>
          <w:lang w:val="es-ES" w:eastAsia="es-ES"/>
        </w:rPr>
        <w:t xml:space="preserve"> </w:t>
      </w:r>
      <w:bookmarkStart w:id="1" w:name="_Hlk51170657"/>
      <w:r w:rsidR="00200761" w:rsidRPr="00377299">
        <w:rPr>
          <w:rFonts w:ascii="Calibri" w:eastAsia="Times New Roman" w:hAnsi="Calibri" w:cs="Times New Roman"/>
          <w:b/>
          <w:lang w:val="es-ES" w:eastAsia="es-ES"/>
        </w:rPr>
        <w:t xml:space="preserve"> </w:t>
      </w:r>
      <w:bookmarkEnd w:id="1"/>
      <w:r w:rsidR="00937906" w:rsidRPr="00377299">
        <w:rPr>
          <w:rFonts w:ascii="Calibri" w:eastAsia="Times New Roman" w:hAnsi="Calibri" w:cs="Times New Roman"/>
          <w:b/>
          <w:lang w:val="es-ES" w:eastAsia="es-ES"/>
        </w:rPr>
        <w:t xml:space="preserve">Obligación de incluir todos los </w:t>
      </w:r>
      <w:r w:rsidR="00B60561">
        <w:rPr>
          <w:rFonts w:ascii="Calibri" w:eastAsia="Times New Roman" w:hAnsi="Calibri" w:cs="Times New Roman"/>
          <w:b/>
          <w:lang w:val="es-ES" w:eastAsia="es-ES"/>
        </w:rPr>
        <w:t>bienes</w:t>
      </w:r>
      <w:r w:rsidR="00937906" w:rsidRPr="00377299">
        <w:rPr>
          <w:rFonts w:ascii="Calibri" w:eastAsia="Times New Roman" w:hAnsi="Calibri" w:cs="Times New Roman"/>
          <w:b/>
          <w:lang w:val="es-ES" w:eastAsia="es-ES"/>
        </w:rPr>
        <w:t xml:space="preserve"> considerados activos fijos en el S</w:t>
      </w:r>
      <w:r w:rsidR="00B60561">
        <w:rPr>
          <w:rFonts w:ascii="Calibri" w:eastAsia="Times New Roman" w:hAnsi="Calibri" w:cs="Times New Roman"/>
          <w:b/>
          <w:lang w:val="es-ES" w:eastAsia="es-ES"/>
        </w:rPr>
        <w:t xml:space="preserve">istema </w:t>
      </w:r>
    </w:p>
    <w:p w14:paraId="513C5F48" w14:textId="1B724042" w:rsidR="00CC39BC" w:rsidRPr="00377299" w:rsidRDefault="00B60561" w:rsidP="00B60561">
      <w:pPr>
        <w:spacing w:after="0" w:line="240" w:lineRule="auto"/>
        <w:ind w:left="1416"/>
        <w:jc w:val="both"/>
        <w:rPr>
          <w:rFonts w:ascii="Calibri" w:eastAsia="Times New Roman" w:hAnsi="Calibri" w:cs="Times New Roman"/>
          <w:b/>
          <w:lang w:val="es-ES" w:eastAsia="es-ES"/>
        </w:rPr>
      </w:pPr>
      <w:r>
        <w:rPr>
          <w:rFonts w:ascii="Calibri" w:eastAsia="Times New Roman" w:hAnsi="Calibri" w:cs="Times New Roman"/>
          <w:b/>
          <w:lang w:val="es-ES" w:eastAsia="es-ES"/>
        </w:rPr>
        <w:t xml:space="preserve">  Institucional de Control de Activos S</w:t>
      </w:r>
      <w:r w:rsidR="00937906" w:rsidRPr="00377299">
        <w:rPr>
          <w:rFonts w:ascii="Calibri" w:eastAsia="Times New Roman" w:hAnsi="Calibri" w:cs="Times New Roman"/>
          <w:b/>
          <w:lang w:val="es-ES" w:eastAsia="es-ES"/>
        </w:rPr>
        <w:t>ICA-PJ.</w:t>
      </w:r>
    </w:p>
    <w:p w14:paraId="14201F95" w14:textId="77777777" w:rsidR="00CC39BC" w:rsidRPr="00377299" w:rsidRDefault="00CC39BC" w:rsidP="00200761">
      <w:pPr>
        <w:spacing w:after="0" w:line="240" w:lineRule="auto"/>
        <w:jc w:val="both"/>
        <w:rPr>
          <w:rFonts w:ascii="Calibri" w:eastAsia="Times New Roman" w:hAnsi="Calibri" w:cs="Times New Roman"/>
          <w:i/>
          <w:lang w:val="es-ES" w:eastAsia="es-ES"/>
        </w:rPr>
      </w:pPr>
    </w:p>
    <w:p w14:paraId="04039051" w14:textId="7B1A109C" w:rsidR="0095079C" w:rsidRPr="00377299" w:rsidRDefault="00CC39BC" w:rsidP="00200761">
      <w:pPr>
        <w:pBdr>
          <w:bottom w:val="single" w:sz="12" w:space="1" w:color="auto"/>
        </w:pBdr>
        <w:spacing w:after="0" w:line="240" w:lineRule="auto"/>
        <w:ind w:left="1842" w:hanging="1128"/>
        <w:jc w:val="both"/>
        <w:rPr>
          <w:rFonts w:ascii="Calibri" w:eastAsia="Times New Roman" w:hAnsi="Calibri" w:cs="Times New Roman"/>
          <w:lang w:val="es-ES" w:eastAsia="es-ES"/>
        </w:rPr>
      </w:pPr>
      <w:r w:rsidRPr="00377299">
        <w:rPr>
          <w:rFonts w:ascii="Calibri" w:eastAsia="Times New Roman" w:hAnsi="Calibri" w:cs="Times New Roman"/>
          <w:b/>
          <w:lang w:val="es-ES" w:eastAsia="es-ES"/>
        </w:rPr>
        <w:t xml:space="preserve">Fecha:   </w:t>
      </w:r>
      <w:bookmarkStart w:id="2" w:name="_Hlk51170668"/>
      <w:r w:rsidR="00F26B64">
        <w:rPr>
          <w:rFonts w:ascii="Calibri" w:eastAsia="Times New Roman" w:hAnsi="Calibri" w:cs="Times New Roman"/>
          <w:b/>
          <w:lang w:val="es-ES" w:eastAsia="es-ES"/>
        </w:rPr>
        <w:t xml:space="preserve">  </w:t>
      </w:r>
      <w:r w:rsidR="00937906" w:rsidRPr="00F26B64">
        <w:rPr>
          <w:rFonts w:ascii="Calibri" w:eastAsia="Times New Roman" w:hAnsi="Calibri" w:cs="Times New Roman"/>
          <w:b/>
          <w:bCs/>
          <w:lang w:val="es-ES" w:eastAsia="es-ES"/>
        </w:rPr>
        <w:t>0</w:t>
      </w:r>
      <w:r w:rsidR="00F26B64" w:rsidRPr="00F26B64">
        <w:rPr>
          <w:rFonts w:ascii="Calibri" w:eastAsia="Times New Roman" w:hAnsi="Calibri" w:cs="Times New Roman"/>
          <w:b/>
          <w:bCs/>
          <w:lang w:val="es-ES" w:eastAsia="es-ES"/>
        </w:rPr>
        <w:t xml:space="preserve">8 </w:t>
      </w:r>
      <w:r w:rsidRPr="00F26B64">
        <w:rPr>
          <w:rFonts w:ascii="Calibri" w:eastAsia="Times New Roman" w:hAnsi="Calibri" w:cs="Times New Roman"/>
          <w:b/>
          <w:bCs/>
          <w:lang w:val="es-ES" w:eastAsia="es-ES"/>
        </w:rPr>
        <w:t xml:space="preserve">de </w:t>
      </w:r>
      <w:r w:rsidR="00937906" w:rsidRPr="00F26B64">
        <w:rPr>
          <w:rFonts w:ascii="Calibri" w:eastAsia="Times New Roman" w:hAnsi="Calibri" w:cs="Times New Roman"/>
          <w:b/>
          <w:bCs/>
          <w:lang w:val="es-ES" w:eastAsia="es-ES"/>
        </w:rPr>
        <w:t>octubre</w:t>
      </w:r>
      <w:r w:rsidRPr="00F26B64">
        <w:rPr>
          <w:rFonts w:ascii="Calibri" w:eastAsia="Times New Roman" w:hAnsi="Calibri" w:cs="Times New Roman"/>
          <w:b/>
          <w:bCs/>
          <w:lang w:val="es-ES" w:eastAsia="es-ES"/>
        </w:rPr>
        <w:t xml:space="preserve"> de </w:t>
      </w:r>
      <w:r w:rsidR="00E2748A" w:rsidRPr="00F26B64">
        <w:rPr>
          <w:rFonts w:ascii="Calibri" w:eastAsia="Times New Roman" w:hAnsi="Calibri" w:cs="Times New Roman"/>
          <w:b/>
          <w:bCs/>
          <w:lang w:val="es-ES" w:eastAsia="es-ES"/>
        </w:rPr>
        <w:t>2020</w:t>
      </w:r>
      <w:r w:rsidRPr="00F26B64">
        <w:rPr>
          <w:rFonts w:ascii="Calibri" w:eastAsia="Times New Roman" w:hAnsi="Calibri" w:cs="Times New Roman"/>
          <w:b/>
          <w:bCs/>
          <w:lang w:val="es-ES" w:eastAsia="es-ES"/>
        </w:rPr>
        <w:t>.</w:t>
      </w:r>
      <w:bookmarkEnd w:id="2"/>
    </w:p>
    <w:p w14:paraId="71C3F7A8" w14:textId="77777777" w:rsidR="00200761" w:rsidRPr="00377299" w:rsidRDefault="00200761" w:rsidP="00200761">
      <w:pPr>
        <w:pBdr>
          <w:bottom w:val="single" w:sz="12" w:space="1" w:color="auto"/>
        </w:pBdr>
        <w:spacing w:after="0" w:line="240" w:lineRule="auto"/>
        <w:ind w:left="1842" w:hanging="1128"/>
        <w:jc w:val="both"/>
        <w:rPr>
          <w:rFonts w:ascii="Calibri" w:eastAsia="Times New Roman" w:hAnsi="Calibri" w:cs="Times New Roman"/>
          <w:lang w:val="es-ES" w:eastAsia="es-ES"/>
        </w:rPr>
      </w:pPr>
    </w:p>
    <w:p w14:paraId="4DE37AEA" w14:textId="77777777" w:rsidR="00CC39BC" w:rsidRPr="00377299" w:rsidRDefault="00CC39BC" w:rsidP="007133F3">
      <w:pPr>
        <w:spacing w:line="240" w:lineRule="auto"/>
        <w:jc w:val="both"/>
      </w:pPr>
    </w:p>
    <w:p w14:paraId="7DC8FB2A" w14:textId="6BA7322B" w:rsidR="00937906" w:rsidRPr="00377299" w:rsidRDefault="00937906" w:rsidP="00B60561">
      <w:pPr>
        <w:spacing w:after="0" w:line="240" w:lineRule="auto"/>
        <w:ind w:left="708"/>
        <w:jc w:val="both"/>
      </w:pPr>
      <w:bookmarkStart w:id="3" w:name="_Hlk51170618"/>
      <w:r w:rsidRPr="00377299">
        <w:t xml:space="preserve">Se recuerda a las oficinas que ejecutan presupuesto, la obligación de incluir en el Sistema Institucional de Control de Activos (SICA), todos los activos fijos. </w:t>
      </w:r>
    </w:p>
    <w:p w14:paraId="083C8041" w14:textId="1410FD61" w:rsidR="00937906" w:rsidRPr="00377299" w:rsidRDefault="00937906" w:rsidP="00B60561">
      <w:pPr>
        <w:spacing w:after="0" w:line="240" w:lineRule="auto"/>
        <w:ind w:left="708"/>
        <w:jc w:val="both"/>
      </w:pPr>
    </w:p>
    <w:p w14:paraId="6AD53BD1" w14:textId="1B2555DB" w:rsidR="00937906" w:rsidRPr="00377299" w:rsidRDefault="00937906" w:rsidP="00B60561">
      <w:pPr>
        <w:spacing w:after="0" w:line="240" w:lineRule="auto"/>
        <w:ind w:left="708"/>
        <w:jc w:val="both"/>
      </w:pPr>
      <w:r w:rsidRPr="00377299">
        <w:t xml:space="preserve">Deben de registrarse en un plazo no mayor a los 10 días hábiles, luego de haber sido aprobada la recepción física de los bienes. </w:t>
      </w:r>
    </w:p>
    <w:p w14:paraId="025B67E9" w14:textId="07AE15B6" w:rsidR="00937906" w:rsidRPr="00377299" w:rsidRDefault="00937906" w:rsidP="00B60561">
      <w:pPr>
        <w:spacing w:after="0" w:line="240" w:lineRule="auto"/>
        <w:ind w:left="708"/>
        <w:jc w:val="both"/>
      </w:pPr>
    </w:p>
    <w:p w14:paraId="3C83A636" w14:textId="5437D57F" w:rsidR="00937906" w:rsidRPr="00377299" w:rsidRDefault="00937906" w:rsidP="00B60561">
      <w:pPr>
        <w:spacing w:after="0" w:line="240" w:lineRule="auto"/>
        <w:ind w:left="708"/>
        <w:jc w:val="both"/>
      </w:pPr>
      <w:r w:rsidRPr="00377299">
        <w:t xml:space="preserve">Los activos fijos se encuentran en el grupo de subpartidas de la 5.01 “Maquinaria, Equipo y Mobiliario” (5.01.01, 5.01.02, </w:t>
      </w:r>
      <w:r w:rsidR="00F96D47" w:rsidRPr="00377299">
        <w:t>5.01.03, 5.01.04, 5.01.05, 5.01.06, 5.01.07, 5.01.99</w:t>
      </w:r>
      <w:r w:rsidRPr="00377299">
        <w:t xml:space="preserve">), </w:t>
      </w:r>
      <w:r w:rsidR="00F96D47" w:rsidRPr="00377299">
        <w:t xml:space="preserve">además de las </w:t>
      </w:r>
      <w:r w:rsidRPr="00377299">
        <w:t>subpartidas 5.99.01, 5.99.02, 5.99.99 y los artículos que tengan el indicador de patrimoniable en el Catálogo de Bienes y Servicios (CBS) de la Partida 2, “Materiales y Suministros”.</w:t>
      </w:r>
    </w:p>
    <w:p w14:paraId="7D065B2D" w14:textId="77E4B8B8" w:rsidR="00F96D47" w:rsidRPr="00377299" w:rsidRDefault="00F96D47" w:rsidP="00B60561">
      <w:pPr>
        <w:spacing w:after="0" w:line="240" w:lineRule="auto"/>
        <w:ind w:left="708"/>
        <w:jc w:val="both"/>
      </w:pPr>
    </w:p>
    <w:p w14:paraId="613F745F" w14:textId="441B4532" w:rsidR="00F96D47" w:rsidRPr="00F96D47" w:rsidRDefault="00F96D47" w:rsidP="00B60561">
      <w:pPr>
        <w:spacing w:after="0" w:line="240" w:lineRule="auto"/>
        <w:ind w:left="708"/>
        <w:jc w:val="both"/>
      </w:pPr>
      <w:r w:rsidRPr="00377299">
        <w:t xml:space="preserve">Es importante indicar que sí se tramitan compras por otras subpartidas u otros grupos de subpartidas, que, dentro de su composición, se incluyan activos fijos, su costo debe desglosarse individualmente (por cantidad de artículos no por totalidad de la línea), para lo cual debe contemplarse dicho aspecto en los Carteles / Pliegos de Condiciones de las diversas adquisiciones, en caso contrario se le debe consultar al proveedor adjudicado. </w:t>
      </w:r>
      <w:r w:rsidRPr="00F96D47">
        <w:rPr>
          <w:rFonts w:ascii="Calibri" w:eastAsia="Calibri" w:hAnsi="Calibri" w:cs="Calibri"/>
        </w:rPr>
        <w:t xml:space="preserve">Como ejemplo, de lo anterior se </w:t>
      </w:r>
      <w:r w:rsidRPr="00377299">
        <w:rPr>
          <w:rFonts w:ascii="Calibri" w:eastAsia="Calibri" w:hAnsi="Calibri" w:cs="Calibri"/>
        </w:rPr>
        <w:t>ejemplifican</w:t>
      </w:r>
      <w:r w:rsidRPr="00F96D47">
        <w:rPr>
          <w:rFonts w:ascii="Calibri" w:eastAsia="Calibri" w:hAnsi="Calibri" w:cs="Calibri"/>
        </w:rPr>
        <w:t xml:space="preserve"> los siguientes casos: </w:t>
      </w:r>
    </w:p>
    <w:p w14:paraId="5A603DCC" w14:textId="77777777" w:rsidR="00F96D47" w:rsidRPr="00F96D47" w:rsidRDefault="00F96D47" w:rsidP="00B60561">
      <w:pPr>
        <w:spacing w:after="0" w:line="240" w:lineRule="auto"/>
        <w:ind w:left="1416"/>
        <w:jc w:val="both"/>
        <w:rPr>
          <w:rFonts w:ascii="Calibri" w:eastAsia="Calibri" w:hAnsi="Calibri" w:cs="Calibri"/>
        </w:rPr>
      </w:pPr>
    </w:p>
    <w:p w14:paraId="392F9A6B" w14:textId="3BF3AF76" w:rsidR="00F96D47" w:rsidRPr="00F96D47" w:rsidRDefault="00F96D47" w:rsidP="00B60561">
      <w:pPr>
        <w:spacing w:after="0" w:line="240" w:lineRule="auto"/>
        <w:ind w:left="1416"/>
        <w:jc w:val="both"/>
        <w:rPr>
          <w:rFonts w:ascii="Calibri" w:eastAsia="Calibri" w:hAnsi="Calibri" w:cs="Calibri"/>
          <w:b/>
          <w:bCs/>
        </w:rPr>
      </w:pPr>
      <w:r w:rsidRPr="00F96D47">
        <w:rPr>
          <w:rFonts w:ascii="Calibri" w:eastAsia="Calibri" w:hAnsi="Calibri" w:cs="Calibri"/>
          <w:b/>
          <w:bCs/>
        </w:rPr>
        <w:t xml:space="preserve">5.02: </w:t>
      </w:r>
      <w:r w:rsidRPr="00377299">
        <w:rPr>
          <w:rFonts w:ascii="Calibri" w:eastAsia="Calibri" w:hAnsi="Calibri" w:cs="Calibri"/>
          <w:b/>
          <w:bCs/>
        </w:rPr>
        <w:t>Construcciones,</w:t>
      </w:r>
      <w:r w:rsidRPr="00F96D47">
        <w:rPr>
          <w:rFonts w:ascii="Calibri" w:eastAsia="Calibri" w:hAnsi="Calibri" w:cs="Calibri"/>
          <w:b/>
          <w:bCs/>
        </w:rPr>
        <w:t xml:space="preserve"> adiciones y mejoras. </w:t>
      </w:r>
    </w:p>
    <w:p w14:paraId="7243D681" w14:textId="653A5632" w:rsidR="00F96D47" w:rsidRPr="00377299" w:rsidRDefault="00F96D47" w:rsidP="00B60561">
      <w:pPr>
        <w:spacing w:after="0" w:line="240" w:lineRule="auto"/>
        <w:ind w:left="1416"/>
        <w:jc w:val="both"/>
        <w:rPr>
          <w:rFonts w:ascii="Calibri" w:eastAsia="Calibri" w:hAnsi="Calibri" w:cs="Calibri"/>
          <w:b/>
          <w:bCs/>
        </w:rPr>
      </w:pPr>
    </w:p>
    <w:p w14:paraId="0A099D80" w14:textId="53A9C2E7" w:rsidR="00F96D47" w:rsidRPr="00377299" w:rsidRDefault="00F96D47" w:rsidP="00B60561">
      <w:pPr>
        <w:spacing w:after="0" w:line="240" w:lineRule="auto"/>
        <w:ind w:left="1416"/>
        <w:jc w:val="both"/>
        <w:rPr>
          <w:rFonts w:ascii="Calibri" w:eastAsia="Calibri" w:hAnsi="Calibri" w:cs="Calibri"/>
          <w:u w:val="single"/>
        </w:rPr>
      </w:pPr>
      <w:r w:rsidRPr="00377299">
        <w:rPr>
          <w:rFonts w:ascii="Calibri" w:eastAsia="Calibri" w:hAnsi="Calibri" w:cs="Calibri"/>
          <w:u w:val="single"/>
        </w:rPr>
        <w:t>Son activos fijos y se deben registrar de forma separada en el SICA-PJ:</w:t>
      </w:r>
    </w:p>
    <w:p w14:paraId="46D5044A" w14:textId="77777777" w:rsidR="00F96D47" w:rsidRPr="00F96D47" w:rsidRDefault="00F96D47" w:rsidP="00B60561">
      <w:pPr>
        <w:spacing w:after="0" w:line="240" w:lineRule="auto"/>
        <w:ind w:left="1416"/>
        <w:jc w:val="both"/>
        <w:rPr>
          <w:rFonts w:ascii="Calibri" w:eastAsia="Calibri" w:hAnsi="Calibri" w:cs="Calibri"/>
          <w:b/>
          <w:bCs/>
        </w:rPr>
      </w:pPr>
    </w:p>
    <w:p w14:paraId="2F8918B0"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 xml:space="preserve">Evaporadoras, condensadoras, aires acondicionados. </w:t>
      </w:r>
    </w:p>
    <w:p w14:paraId="3984DB4C"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UPS para edificios.</w:t>
      </w:r>
    </w:p>
    <w:p w14:paraId="38DDD7C3"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 xml:space="preserve">Centrales telefónicas. </w:t>
      </w:r>
    </w:p>
    <w:p w14:paraId="31AB35EC"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Extintores.</w:t>
      </w:r>
    </w:p>
    <w:p w14:paraId="10406FA9"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 xml:space="preserve">Mobiliario de todo tipo, ejemplos:  muebles modulares (gabinete aéreo, archivadores, bibliotecas, escritorios, </w:t>
      </w:r>
      <w:proofErr w:type="spellStart"/>
      <w:r w:rsidRPr="00F96D47">
        <w:rPr>
          <w:rFonts w:ascii="Calibri" w:eastAsia="Times New Roman" w:hAnsi="Calibri" w:cs="Calibri"/>
        </w:rPr>
        <w:t>credenzas</w:t>
      </w:r>
      <w:proofErr w:type="spellEnd"/>
      <w:r w:rsidRPr="00F96D47">
        <w:rPr>
          <w:rFonts w:ascii="Calibri" w:eastAsia="Times New Roman" w:hAnsi="Calibri" w:cs="Calibri"/>
        </w:rPr>
        <w:t>, mueble de cocina), sillas, butacas, u otros.</w:t>
      </w:r>
    </w:p>
    <w:p w14:paraId="13086078" w14:textId="080928BE" w:rsidR="00F96D47" w:rsidRPr="00F96D47" w:rsidRDefault="00B60561" w:rsidP="00B60561">
      <w:pPr>
        <w:numPr>
          <w:ilvl w:val="0"/>
          <w:numId w:val="4"/>
        </w:numPr>
        <w:spacing w:after="0" w:line="240" w:lineRule="auto"/>
        <w:ind w:left="2136"/>
        <w:jc w:val="both"/>
        <w:rPr>
          <w:rFonts w:ascii="Calibri" w:eastAsia="Times New Roman" w:hAnsi="Calibri" w:cs="Calibri"/>
        </w:rPr>
      </w:pPr>
      <w:r>
        <w:rPr>
          <w:rFonts w:ascii="Calibri" w:eastAsia="Times New Roman" w:hAnsi="Calibri" w:cs="Calibri"/>
        </w:rPr>
        <w:t>L</w:t>
      </w:r>
      <w:r w:rsidR="00F96D47" w:rsidRPr="00F96D47">
        <w:rPr>
          <w:rFonts w:ascii="Calibri" w:eastAsia="Times New Roman" w:hAnsi="Calibri" w:cs="Calibri"/>
        </w:rPr>
        <w:t>ámparas de emergencia.</w:t>
      </w:r>
    </w:p>
    <w:p w14:paraId="4369864E"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Sistemas de alarma.</w:t>
      </w:r>
    </w:p>
    <w:p w14:paraId="42522658"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Sistemas de control de acceso.</w:t>
      </w:r>
    </w:p>
    <w:p w14:paraId="6495C6CC" w14:textId="77777777"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lastRenderedPageBreak/>
        <w:t>Cámaras, grabadores de video, circuito cerrado, u otros.</w:t>
      </w:r>
    </w:p>
    <w:p w14:paraId="60F86F3A" w14:textId="41122B04" w:rsidR="00F96D47" w:rsidRPr="00377299" w:rsidRDefault="00F96D47" w:rsidP="00B60561">
      <w:pPr>
        <w:numPr>
          <w:ilvl w:val="0"/>
          <w:numId w:val="4"/>
        </w:numPr>
        <w:spacing w:after="0" w:line="240" w:lineRule="auto"/>
        <w:ind w:left="2136"/>
        <w:jc w:val="both"/>
        <w:rPr>
          <w:rFonts w:ascii="Calibri" w:eastAsia="Times New Roman" w:hAnsi="Calibri" w:cs="Calibri"/>
        </w:rPr>
      </w:pPr>
      <w:r w:rsidRPr="00F96D47">
        <w:rPr>
          <w:rFonts w:ascii="Calibri" w:eastAsia="Times New Roman" w:hAnsi="Calibri" w:cs="Calibri"/>
        </w:rPr>
        <w:t xml:space="preserve">Servidores, racks, </w:t>
      </w:r>
      <w:proofErr w:type="spellStart"/>
      <w:r w:rsidRPr="00F96D47">
        <w:rPr>
          <w:rFonts w:ascii="Calibri" w:eastAsia="Times New Roman" w:hAnsi="Calibri" w:cs="Calibri"/>
        </w:rPr>
        <w:t>switch</w:t>
      </w:r>
      <w:proofErr w:type="spellEnd"/>
      <w:r w:rsidRPr="00F96D47">
        <w:rPr>
          <w:rFonts w:ascii="Calibri" w:eastAsia="Times New Roman" w:hAnsi="Calibri" w:cs="Calibri"/>
        </w:rPr>
        <w:t>, gabinetes, u otros.</w:t>
      </w:r>
    </w:p>
    <w:p w14:paraId="71091A02" w14:textId="1B4E4F1F" w:rsidR="00F96D47" w:rsidRPr="00F96D47"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 xml:space="preserve">Otros similares. </w:t>
      </w:r>
    </w:p>
    <w:p w14:paraId="35CFEC39" w14:textId="77777777" w:rsidR="00F96D47" w:rsidRPr="00F96D47" w:rsidRDefault="00F96D47" w:rsidP="00B60561">
      <w:pPr>
        <w:spacing w:after="0" w:line="240" w:lineRule="auto"/>
        <w:ind w:left="1416"/>
        <w:jc w:val="both"/>
        <w:rPr>
          <w:rFonts w:ascii="Calibri" w:eastAsia="Calibri" w:hAnsi="Calibri" w:cs="Calibri"/>
        </w:rPr>
      </w:pPr>
    </w:p>
    <w:p w14:paraId="04A60C9E" w14:textId="77777777" w:rsidR="00F96D47" w:rsidRPr="00F96D47" w:rsidRDefault="00F96D47" w:rsidP="00B60561">
      <w:pPr>
        <w:spacing w:after="0" w:line="240" w:lineRule="auto"/>
        <w:ind w:left="1416"/>
        <w:jc w:val="both"/>
        <w:rPr>
          <w:rFonts w:ascii="Calibri" w:eastAsia="Calibri" w:hAnsi="Calibri" w:cs="Calibri"/>
          <w:b/>
          <w:bCs/>
        </w:rPr>
      </w:pPr>
      <w:r w:rsidRPr="00F96D47">
        <w:rPr>
          <w:rFonts w:ascii="Calibri" w:eastAsia="Calibri" w:hAnsi="Calibri" w:cs="Calibri"/>
          <w:b/>
          <w:bCs/>
        </w:rPr>
        <w:t>5.99.03: Bienes intangibles</w:t>
      </w:r>
    </w:p>
    <w:p w14:paraId="713ECEEE" w14:textId="77777777" w:rsidR="00F96D47" w:rsidRPr="00F96D47" w:rsidRDefault="00F96D47" w:rsidP="00B60561">
      <w:pPr>
        <w:spacing w:after="0" w:line="240" w:lineRule="auto"/>
        <w:ind w:left="1416"/>
        <w:jc w:val="both"/>
        <w:rPr>
          <w:rFonts w:ascii="Calibri" w:eastAsia="Calibri" w:hAnsi="Calibri" w:cs="Calibri"/>
        </w:rPr>
      </w:pPr>
    </w:p>
    <w:p w14:paraId="11956FE2" w14:textId="093B4C3B" w:rsidR="00F96D47" w:rsidRPr="00377299" w:rsidRDefault="00F96D47" w:rsidP="00B60561">
      <w:pPr>
        <w:spacing w:after="0" w:line="240" w:lineRule="auto"/>
        <w:ind w:left="1416"/>
        <w:jc w:val="both"/>
        <w:rPr>
          <w:rFonts w:ascii="Calibri" w:eastAsia="Calibri" w:hAnsi="Calibri" w:cs="Calibri"/>
        </w:rPr>
      </w:pPr>
      <w:r w:rsidRPr="00F96D47">
        <w:rPr>
          <w:rFonts w:ascii="Calibri" w:eastAsia="Calibri" w:hAnsi="Calibri" w:cs="Calibri"/>
        </w:rPr>
        <w:t xml:space="preserve">Proyectos que dentro de su adquisición sea indispensable la </w:t>
      </w:r>
      <w:r w:rsidRPr="00377299">
        <w:rPr>
          <w:rFonts w:ascii="Calibri" w:eastAsia="Calibri" w:hAnsi="Calibri" w:cs="Calibri"/>
        </w:rPr>
        <w:t>compra</w:t>
      </w:r>
      <w:r w:rsidRPr="00F96D47">
        <w:rPr>
          <w:rFonts w:ascii="Calibri" w:eastAsia="Calibri" w:hAnsi="Calibri" w:cs="Calibri"/>
        </w:rPr>
        <w:t xml:space="preserve"> de equipo “hardware”</w:t>
      </w:r>
      <w:r w:rsidRPr="00377299">
        <w:rPr>
          <w:rFonts w:ascii="Calibri" w:eastAsia="Calibri" w:hAnsi="Calibri" w:cs="Calibri"/>
        </w:rPr>
        <w:t>.</w:t>
      </w:r>
    </w:p>
    <w:p w14:paraId="42E82928" w14:textId="77777777" w:rsidR="00F96D47" w:rsidRPr="00377299" w:rsidRDefault="00F96D47" w:rsidP="00B60561">
      <w:pPr>
        <w:spacing w:after="0" w:line="240" w:lineRule="auto"/>
        <w:ind w:left="1416"/>
        <w:jc w:val="both"/>
        <w:rPr>
          <w:rFonts w:ascii="Calibri" w:eastAsia="Calibri" w:hAnsi="Calibri" w:cs="Calibri"/>
        </w:rPr>
      </w:pPr>
    </w:p>
    <w:p w14:paraId="4263960C" w14:textId="44FBC181" w:rsidR="00F96D47" w:rsidRPr="00377299"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Servidores</w:t>
      </w:r>
    </w:p>
    <w:p w14:paraId="7B33E124" w14:textId="42AACC23" w:rsidR="00F96D47" w:rsidRPr="00377299"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Computadoras</w:t>
      </w:r>
    </w:p>
    <w:p w14:paraId="2D6633B2" w14:textId="090CA3FC" w:rsidR="00F96D47" w:rsidRPr="00377299"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Switch</w:t>
      </w:r>
    </w:p>
    <w:p w14:paraId="3AAD949B" w14:textId="062B65E1" w:rsidR="00F96D47" w:rsidRPr="00377299"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Racks</w:t>
      </w:r>
    </w:p>
    <w:p w14:paraId="1FA614ED" w14:textId="2976358C" w:rsidR="00F96D47" w:rsidRPr="00377299"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Cámaras.</w:t>
      </w:r>
    </w:p>
    <w:p w14:paraId="2431751B" w14:textId="6C26E5F4" w:rsidR="00377299" w:rsidRPr="00377299" w:rsidRDefault="00F96D47" w:rsidP="00B60561">
      <w:pPr>
        <w:numPr>
          <w:ilvl w:val="0"/>
          <w:numId w:val="4"/>
        </w:numPr>
        <w:spacing w:after="0" w:line="240" w:lineRule="auto"/>
        <w:ind w:left="2136"/>
        <w:jc w:val="both"/>
        <w:rPr>
          <w:rFonts w:ascii="Calibri" w:eastAsia="Times New Roman" w:hAnsi="Calibri" w:cs="Calibri"/>
        </w:rPr>
      </w:pPr>
      <w:r w:rsidRPr="00377299">
        <w:rPr>
          <w:rFonts w:ascii="Calibri" w:eastAsia="Times New Roman" w:hAnsi="Calibri" w:cs="Calibri"/>
        </w:rPr>
        <w:t xml:space="preserve">Otros similares. </w:t>
      </w:r>
      <w:bookmarkEnd w:id="3"/>
    </w:p>
    <w:p w14:paraId="2B50AB5E" w14:textId="77777777" w:rsidR="00377299" w:rsidRPr="00377299" w:rsidRDefault="00377299" w:rsidP="00B60561">
      <w:pPr>
        <w:spacing w:after="0" w:line="240" w:lineRule="auto"/>
        <w:ind w:left="2136"/>
        <w:jc w:val="both"/>
        <w:rPr>
          <w:rFonts w:ascii="Calibri" w:eastAsia="Times New Roman" w:hAnsi="Calibri" w:cs="Calibri"/>
        </w:rPr>
      </w:pPr>
    </w:p>
    <w:p w14:paraId="21B031E9" w14:textId="75684E2C" w:rsidR="00F96D47" w:rsidRPr="00377299" w:rsidRDefault="00F96D47" w:rsidP="00B60561">
      <w:pPr>
        <w:spacing w:after="0" w:line="240" w:lineRule="auto"/>
        <w:ind w:left="851"/>
        <w:jc w:val="both"/>
        <w:rPr>
          <w:rFonts w:ascii="Calibri" w:eastAsia="Times New Roman" w:hAnsi="Calibri" w:cs="Calibri"/>
        </w:rPr>
      </w:pPr>
      <w:r w:rsidRPr="00377299">
        <w:t>Las oficinas del I y III Circuito Judicial de San José, que no cuenten con la figura de Administración</w:t>
      </w:r>
      <w:r w:rsidR="00377299" w:rsidRPr="00377299">
        <w:t xml:space="preserve">, deberán de brindar el detalle de los costos, informar y solicitar el registro en el SICA-PJ al Proceso de Administración de Bienes. </w:t>
      </w:r>
    </w:p>
    <w:p w14:paraId="5EAA4A67" w14:textId="45F54927" w:rsidR="00F96D47" w:rsidRDefault="00F96D47" w:rsidP="00200761">
      <w:pPr>
        <w:pBdr>
          <w:bottom w:val="single" w:sz="12" w:space="1" w:color="auto"/>
        </w:pBdr>
        <w:spacing w:after="0" w:line="240" w:lineRule="auto"/>
        <w:ind w:right="-1"/>
        <w:jc w:val="both"/>
        <w:rPr>
          <w:rFonts w:ascii="Calibri" w:eastAsia="Times New Roman" w:hAnsi="Calibri" w:cs="Times New Roman"/>
          <w:sz w:val="24"/>
          <w:szCs w:val="24"/>
          <w:lang w:val="es-ES" w:eastAsia="es-ES"/>
        </w:rPr>
      </w:pPr>
    </w:p>
    <w:p w14:paraId="6E04410B" w14:textId="77777777" w:rsidR="00F96D47" w:rsidRPr="00F96D47" w:rsidRDefault="00F96D47" w:rsidP="00200761">
      <w:pPr>
        <w:pBdr>
          <w:bottom w:val="single" w:sz="12" w:space="1" w:color="auto"/>
        </w:pBdr>
        <w:spacing w:after="0" w:line="240" w:lineRule="auto"/>
        <w:ind w:right="-1"/>
        <w:jc w:val="both"/>
        <w:rPr>
          <w:rFonts w:ascii="Calibri" w:eastAsia="Times New Roman" w:hAnsi="Calibri" w:cs="Times New Roman"/>
          <w:sz w:val="24"/>
          <w:szCs w:val="24"/>
          <w:lang w:val="es-ES" w:eastAsia="es-ES"/>
        </w:rPr>
      </w:pPr>
    </w:p>
    <w:p w14:paraId="04B95E73" w14:textId="77777777" w:rsidR="00200761" w:rsidRPr="00200761" w:rsidRDefault="00200761" w:rsidP="00200761">
      <w:pPr>
        <w:tabs>
          <w:tab w:val="left" w:pos="567"/>
        </w:tabs>
        <w:spacing w:after="0" w:line="240" w:lineRule="auto"/>
        <w:jc w:val="both"/>
        <w:rPr>
          <w:rFonts w:ascii="Calibri" w:eastAsia="Times New Roman" w:hAnsi="Calibri" w:cs="Times New Roman"/>
          <w:sz w:val="10"/>
          <w:szCs w:val="24"/>
          <w:lang w:val="es-ES" w:eastAsia="es-ES"/>
        </w:rPr>
      </w:pPr>
    </w:p>
    <w:p w14:paraId="566923DD" w14:textId="77777777" w:rsidR="00200761" w:rsidRPr="0016202B" w:rsidRDefault="00200761" w:rsidP="00714516">
      <w:pPr>
        <w:spacing w:after="0" w:line="240" w:lineRule="auto"/>
        <w:rPr>
          <w:rFonts w:ascii="Calibri" w:eastAsia="Times New Roman" w:hAnsi="Calibri" w:cs="Times New Roman"/>
          <w:sz w:val="14"/>
          <w:szCs w:val="16"/>
          <w:lang w:eastAsia="es-ES"/>
        </w:rPr>
      </w:pPr>
      <w:r w:rsidRPr="0016202B">
        <w:rPr>
          <w:rFonts w:ascii="Wingdings" w:eastAsia="Times New Roman" w:hAnsi="Wingdings" w:cs="Wingdings"/>
          <w:sz w:val="24"/>
          <w:szCs w:val="24"/>
          <w:lang w:eastAsia="es-ES"/>
        </w:rPr>
        <w:t></w:t>
      </w:r>
      <w:r w:rsidRPr="0016202B">
        <w:rPr>
          <w:rFonts w:ascii="Calibri" w:eastAsia="Times New Roman" w:hAnsi="Calibri" w:cs="Times New Roman"/>
          <w:b/>
          <w:sz w:val="14"/>
          <w:szCs w:val="16"/>
          <w:lang w:eastAsia="es-ES"/>
        </w:rPr>
        <w:t>Elaborado por:</w:t>
      </w:r>
      <w:r w:rsidRPr="0016202B">
        <w:rPr>
          <w:rFonts w:ascii="Calibri" w:eastAsia="Times New Roman" w:hAnsi="Calibri" w:cs="Times New Roman"/>
          <w:sz w:val="14"/>
          <w:szCs w:val="16"/>
          <w:lang w:eastAsia="es-ES"/>
        </w:rPr>
        <w:t xml:space="preserve"> Lic. Luis Diego Sánchez García.</w:t>
      </w:r>
    </w:p>
    <w:p w14:paraId="1A91B712" w14:textId="4BCF2771" w:rsidR="00200761" w:rsidRPr="0016202B" w:rsidRDefault="00200761" w:rsidP="00714516">
      <w:pPr>
        <w:spacing w:after="0" w:line="240" w:lineRule="auto"/>
        <w:rPr>
          <w:rFonts w:ascii="Calibri" w:eastAsia="Times New Roman" w:hAnsi="Calibri" w:cs="Times New Roman"/>
          <w:sz w:val="14"/>
          <w:szCs w:val="16"/>
          <w:lang w:eastAsia="es-ES"/>
        </w:rPr>
      </w:pPr>
      <w:r w:rsidRPr="0016202B">
        <w:rPr>
          <w:rFonts w:ascii="Wingdings" w:eastAsia="Times New Roman" w:hAnsi="Wingdings" w:cs="Wingdings"/>
          <w:sz w:val="16"/>
          <w:szCs w:val="24"/>
          <w:lang w:eastAsia="es-ES"/>
        </w:rPr>
        <w:t></w:t>
      </w:r>
      <w:r w:rsidRPr="0016202B">
        <w:rPr>
          <w:rFonts w:ascii="Calibri" w:eastAsia="Times New Roman" w:hAnsi="Calibri" w:cs="Times New Roman"/>
          <w:b/>
          <w:sz w:val="14"/>
          <w:szCs w:val="16"/>
          <w:lang w:eastAsia="es-ES"/>
        </w:rPr>
        <w:t>Copia:</w:t>
      </w:r>
      <w:r w:rsidRPr="0016202B">
        <w:rPr>
          <w:rFonts w:ascii="Calibri" w:eastAsia="Times New Roman" w:hAnsi="Calibri" w:cs="Times New Roman"/>
          <w:sz w:val="14"/>
          <w:szCs w:val="16"/>
          <w:lang w:eastAsia="es-ES"/>
        </w:rPr>
        <w:t xml:space="preserve"> Administraciones Regionales y Auxiliares de Justicia</w:t>
      </w:r>
      <w:r w:rsidR="00714516" w:rsidRPr="0016202B">
        <w:rPr>
          <w:rFonts w:ascii="Calibri" w:eastAsia="Times New Roman" w:hAnsi="Calibri" w:cs="Times New Roman"/>
          <w:sz w:val="14"/>
          <w:szCs w:val="16"/>
          <w:lang w:eastAsia="es-ES"/>
        </w:rPr>
        <w:t>, Departamento de Financiero Contable, Dirección Ejecutiva.</w:t>
      </w:r>
    </w:p>
    <w:p w14:paraId="6328E296" w14:textId="77777777" w:rsidR="00200761" w:rsidRPr="0016202B" w:rsidRDefault="00200761" w:rsidP="00714516">
      <w:pPr>
        <w:widowControl w:val="0"/>
        <w:autoSpaceDE w:val="0"/>
        <w:autoSpaceDN w:val="0"/>
        <w:adjustRightInd w:val="0"/>
        <w:spacing w:after="0" w:line="240" w:lineRule="auto"/>
        <w:rPr>
          <w:rFonts w:ascii="Calibri" w:eastAsia="Times New Roman" w:hAnsi="Calibri" w:cs="Arial"/>
          <w:sz w:val="14"/>
          <w:szCs w:val="16"/>
          <w:lang w:eastAsia="es-CR"/>
        </w:rPr>
      </w:pPr>
      <w:r w:rsidRPr="0016202B">
        <w:rPr>
          <w:rFonts w:ascii="Wingdings" w:eastAsia="Times New Roman" w:hAnsi="Wingdings" w:cs="Wingdings"/>
          <w:sz w:val="16"/>
          <w:szCs w:val="24"/>
          <w:lang w:eastAsia="es-CR"/>
        </w:rPr>
        <w:t></w:t>
      </w:r>
      <w:r w:rsidRPr="0016202B">
        <w:rPr>
          <w:rFonts w:ascii="Calibri" w:eastAsia="Times New Roman" w:hAnsi="Calibri" w:cs="Arial"/>
          <w:b/>
          <w:sz w:val="14"/>
          <w:szCs w:val="16"/>
          <w:lang w:eastAsia="es-CR"/>
        </w:rPr>
        <w:t>Diligencias:</w:t>
      </w:r>
      <w:r w:rsidRPr="0016202B">
        <w:rPr>
          <w:rFonts w:ascii="Calibri" w:eastAsia="Times New Roman" w:hAnsi="Calibri" w:cs="Arial"/>
          <w:sz w:val="14"/>
          <w:szCs w:val="16"/>
          <w:lang w:eastAsia="es-CR"/>
        </w:rPr>
        <w:t xml:space="preserve"> </w:t>
      </w:r>
      <w:r w:rsidRPr="0016202B">
        <w:rPr>
          <w:rFonts w:ascii="Calibri" w:eastAsia="Times New Roman" w:hAnsi="Calibri" w:cs="Times New Roman"/>
          <w:sz w:val="14"/>
          <w:szCs w:val="16"/>
          <w:lang w:eastAsia="es-ES"/>
        </w:rPr>
        <w:t>Proceso de Administración de Bienes.</w:t>
      </w:r>
    </w:p>
    <w:p w14:paraId="45AB255E" w14:textId="77777777" w:rsidR="00E2748A" w:rsidRPr="00200761" w:rsidRDefault="00E2748A" w:rsidP="00E2748A">
      <w:pPr>
        <w:spacing w:line="240" w:lineRule="auto"/>
        <w:ind w:left="290"/>
        <w:jc w:val="both"/>
        <w:rPr>
          <w:sz w:val="24"/>
          <w:szCs w:val="24"/>
        </w:rPr>
      </w:pPr>
    </w:p>
    <w:bookmarkEnd w:id="0"/>
    <w:p w14:paraId="71079565" w14:textId="0A68A861" w:rsidR="00FB14DC" w:rsidRPr="00200761" w:rsidRDefault="00FB14DC" w:rsidP="00E2748A">
      <w:pPr>
        <w:spacing w:line="240" w:lineRule="auto"/>
        <w:ind w:left="290"/>
        <w:rPr>
          <w:sz w:val="24"/>
          <w:szCs w:val="24"/>
        </w:rPr>
      </w:pPr>
    </w:p>
    <w:sectPr w:rsidR="00FB14DC" w:rsidRPr="00200761" w:rsidSect="00200761">
      <w:headerReference w:type="default" r:id="rId7"/>
      <w:pgSz w:w="12240" w:h="15840"/>
      <w:pgMar w:top="1135" w:right="2034" w:bottom="1135"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7B6A" w14:textId="77777777" w:rsidR="00D13757" w:rsidRDefault="00D13757" w:rsidP="00CC39BC">
      <w:pPr>
        <w:spacing w:after="0" w:line="240" w:lineRule="auto"/>
      </w:pPr>
      <w:r>
        <w:separator/>
      </w:r>
    </w:p>
  </w:endnote>
  <w:endnote w:type="continuationSeparator" w:id="0">
    <w:p w14:paraId="3680970B" w14:textId="77777777" w:rsidR="00D13757" w:rsidRDefault="00D13757" w:rsidP="00CC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95B33" w14:textId="77777777" w:rsidR="00D13757" w:rsidRDefault="00D13757" w:rsidP="00CC39BC">
      <w:pPr>
        <w:spacing w:after="0" w:line="240" w:lineRule="auto"/>
      </w:pPr>
      <w:r>
        <w:separator/>
      </w:r>
    </w:p>
  </w:footnote>
  <w:footnote w:type="continuationSeparator" w:id="0">
    <w:p w14:paraId="5190188B" w14:textId="77777777" w:rsidR="00D13757" w:rsidRDefault="00D13757" w:rsidP="00CC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1B1C" w14:textId="77777777" w:rsidR="00CC39BC" w:rsidRDefault="00CC39BC" w:rsidP="00CC39BC">
    <w:pPr>
      <w:pStyle w:val="Encabezado"/>
      <w:jc w:val="both"/>
    </w:pPr>
    <w:r>
      <w:rPr>
        <w:rFonts w:ascii="Calibri" w:hAnsi="Calibri"/>
        <w:noProof/>
      </w:rPr>
      <w:drawing>
        <wp:inline distT="0" distB="0" distL="0" distR="0" wp14:anchorId="18A235DB" wp14:editId="21F8D83E">
          <wp:extent cx="5612130" cy="86106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2B8"/>
    <w:multiLevelType w:val="hybridMultilevel"/>
    <w:tmpl w:val="985ECF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39B7F57"/>
    <w:multiLevelType w:val="hybridMultilevel"/>
    <w:tmpl w:val="0076FA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8DB76EC"/>
    <w:multiLevelType w:val="hybridMultilevel"/>
    <w:tmpl w:val="2D9AD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53C15AFB"/>
    <w:multiLevelType w:val="hybridMultilevel"/>
    <w:tmpl w:val="492C71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E"/>
    <w:rsid w:val="0005686F"/>
    <w:rsid w:val="000A0CD6"/>
    <w:rsid w:val="0016202B"/>
    <w:rsid w:val="001C1665"/>
    <w:rsid w:val="001D20F1"/>
    <w:rsid w:val="00200761"/>
    <w:rsid w:val="002C41E3"/>
    <w:rsid w:val="00314A8A"/>
    <w:rsid w:val="00322F0F"/>
    <w:rsid w:val="0036022D"/>
    <w:rsid w:val="00361ECB"/>
    <w:rsid w:val="00377299"/>
    <w:rsid w:val="003F2A9B"/>
    <w:rsid w:val="004068DA"/>
    <w:rsid w:val="00574C85"/>
    <w:rsid w:val="00601291"/>
    <w:rsid w:val="0070783D"/>
    <w:rsid w:val="007133F3"/>
    <w:rsid w:val="00714516"/>
    <w:rsid w:val="00743164"/>
    <w:rsid w:val="0076512B"/>
    <w:rsid w:val="007A3DC7"/>
    <w:rsid w:val="007C549C"/>
    <w:rsid w:val="007D5071"/>
    <w:rsid w:val="00804F6E"/>
    <w:rsid w:val="008E0695"/>
    <w:rsid w:val="0091078B"/>
    <w:rsid w:val="00937906"/>
    <w:rsid w:val="0095079C"/>
    <w:rsid w:val="009674FA"/>
    <w:rsid w:val="00994872"/>
    <w:rsid w:val="00B13600"/>
    <w:rsid w:val="00B60561"/>
    <w:rsid w:val="00B6738C"/>
    <w:rsid w:val="00B927AD"/>
    <w:rsid w:val="00C542B9"/>
    <w:rsid w:val="00C66484"/>
    <w:rsid w:val="00C715AF"/>
    <w:rsid w:val="00C73E1A"/>
    <w:rsid w:val="00CC39BC"/>
    <w:rsid w:val="00D13757"/>
    <w:rsid w:val="00DB7D78"/>
    <w:rsid w:val="00E2748A"/>
    <w:rsid w:val="00E60F75"/>
    <w:rsid w:val="00E9541D"/>
    <w:rsid w:val="00F26B64"/>
    <w:rsid w:val="00F81BDB"/>
    <w:rsid w:val="00F96D47"/>
    <w:rsid w:val="00FB14DC"/>
    <w:rsid w:val="00FB203B"/>
    <w:rsid w:val="00FE5A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325F"/>
  <w15:chartTrackingRefBased/>
  <w15:docId w15:val="{5E905F84-01FD-43BF-B2B1-D05B447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7D78"/>
    <w:pPr>
      <w:ind w:left="720"/>
      <w:contextualSpacing/>
    </w:pPr>
  </w:style>
  <w:style w:type="character" w:styleId="Hipervnculo">
    <w:name w:val="Hyperlink"/>
    <w:basedOn w:val="Fuentedeprrafopredeter"/>
    <w:uiPriority w:val="99"/>
    <w:unhideWhenUsed/>
    <w:rsid w:val="00574C85"/>
    <w:rPr>
      <w:color w:val="0563C1" w:themeColor="hyperlink"/>
      <w:u w:val="single"/>
    </w:rPr>
  </w:style>
  <w:style w:type="character" w:styleId="Mencinsinresolver">
    <w:name w:val="Unresolved Mention"/>
    <w:basedOn w:val="Fuentedeprrafopredeter"/>
    <w:uiPriority w:val="99"/>
    <w:semiHidden/>
    <w:unhideWhenUsed/>
    <w:rsid w:val="00574C85"/>
    <w:rPr>
      <w:color w:val="605E5C"/>
      <w:shd w:val="clear" w:color="auto" w:fill="E1DFDD"/>
    </w:rPr>
  </w:style>
  <w:style w:type="paragraph" w:styleId="Encabezado">
    <w:name w:val="header"/>
    <w:basedOn w:val="Normal"/>
    <w:link w:val="EncabezadoCar"/>
    <w:uiPriority w:val="99"/>
    <w:unhideWhenUsed/>
    <w:rsid w:val="00CC39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9BC"/>
  </w:style>
  <w:style w:type="paragraph" w:styleId="Piedepgina">
    <w:name w:val="footer"/>
    <w:basedOn w:val="Normal"/>
    <w:link w:val="PiedepginaCar"/>
    <w:uiPriority w:val="99"/>
    <w:unhideWhenUsed/>
    <w:rsid w:val="00CC39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9BC"/>
  </w:style>
  <w:style w:type="paragraph" w:styleId="Textodeglobo">
    <w:name w:val="Balloon Text"/>
    <w:basedOn w:val="Normal"/>
    <w:link w:val="TextodegloboCar"/>
    <w:uiPriority w:val="99"/>
    <w:semiHidden/>
    <w:unhideWhenUsed/>
    <w:rsid w:val="00CC39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511695">
      <w:bodyDiv w:val="1"/>
      <w:marLeft w:val="0"/>
      <w:marRight w:val="0"/>
      <w:marTop w:val="0"/>
      <w:marBottom w:val="0"/>
      <w:divBdr>
        <w:top w:val="none" w:sz="0" w:space="0" w:color="auto"/>
        <w:left w:val="none" w:sz="0" w:space="0" w:color="auto"/>
        <w:bottom w:val="none" w:sz="0" w:space="0" w:color="auto"/>
        <w:right w:val="none" w:sz="0" w:space="0" w:color="auto"/>
      </w:divBdr>
    </w:div>
    <w:div w:id="1380202424">
      <w:bodyDiv w:val="1"/>
      <w:marLeft w:val="0"/>
      <w:marRight w:val="0"/>
      <w:marTop w:val="0"/>
      <w:marBottom w:val="0"/>
      <w:divBdr>
        <w:top w:val="none" w:sz="0" w:space="0" w:color="auto"/>
        <w:left w:val="none" w:sz="0" w:space="0" w:color="auto"/>
        <w:bottom w:val="none" w:sz="0" w:space="0" w:color="auto"/>
        <w:right w:val="none" w:sz="0" w:space="0" w:color="auto"/>
      </w:divBdr>
    </w:div>
    <w:div w:id="15683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1" ma:contentTypeDescription="Crear nuevo documento." ma:contentTypeScope="" ma:versionID="0959b1a20e57635da0e5c66a07dfa6b7">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0f6ef136e90660d34c5f9217f13aee13"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5581C-5217-4D6C-AC1D-A2FFE02BB6A8}"/>
</file>

<file path=customXml/itemProps2.xml><?xml version="1.0" encoding="utf-8"?>
<ds:datastoreItem xmlns:ds="http://schemas.openxmlformats.org/officeDocument/2006/customXml" ds:itemID="{5D592222-1EEF-411F-A388-B5ECA1B90FD0}"/>
</file>

<file path=customXml/itemProps3.xml><?xml version="1.0" encoding="utf-8"?>
<ds:datastoreItem xmlns:ds="http://schemas.openxmlformats.org/officeDocument/2006/customXml" ds:itemID="{312EFD2E-1834-4CA5-805A-43F7F3F65D5C}"/>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Diego Sánchez García</dc:creator>
  <cp:keywords/>
  <dc:description/>
  <cp:lastModifiedBy>Luis Diego Sánchez García</cp:lastModifiedBy>
  <cp:revision>2</cp:revision>
  <dcterms:created xsi:type="dcterms:W3CDTF">2020-10-08T19:14:00Z</dcterms:created>
  <dcterms:modified xsi:type="dcterms:W3CDTF">2020-10-08T19:14:00Z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