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FC897" w14:textId="0AA4AE13" w:rsidR="00652F9D" w:rsidRPr="00823D13" w:rsidRDefault="00652F9D" w:rsidP="00652F9D">
      <w:pPr>
        <w:autoSpaceDE w:val="0"/>
        <w:autoSpaceDN w:val="0"/>
        <w:adjustRightInd w:val="0"/>
        <w:jc w:val="center"/>
        <w:rPr>
          <w:rFonts w:ascii="Arial" w:hAnsi="Arial" w:cs="Arial"/>
          <w:lang w:val="es-CR"/>
        </w:rPr>
      </w:pPr>
      <w:r w:rsidRPr="00823D13">
        <w:rPr>
          <w:rFonts w:ascii="Arial" w:hAnsi="Arial" w:cs="Arial"/>
          <w:b/>
          <w:lang w:val="es-CR"/>
        </w:rPr>
        <w:t xml:space="preserve">CIRCULAR </w:t>
      </w:r>
      <w:proofErr w:type="spellStart"/>
      <w:r w:rsidRPr="00823D13">
        <w:rPr>
          <w:rFonts w:ascii="Arial" w:hAnsi="Arial" w:cs="Arial"/>
          <w:b/>
          <w:lang w:val="es-CR"/>
        </w:rPr>
        <w:t>N°</w:t>
      </w:r>
      <w:proofErr w:type="spellEnd"/>
      <w:r w:rsidRPr="00823D13">
        <w:rPr>
          <w:rFonts w:ascii="Arial" w:hAnsi="Arial" w:cs="Arial"/>
          <w:b/>
          <w:lang w:val="es-CR"/>
        </w:rPr>
        <w:t xml:space="preserve"> 0</w:t>
      </w:r>
      <w:r w:rsidR="003A3061" w:rsidRPr="00823D13">
        <w:rPr>
          <w:rFonts w:ascii="Arial" w:hAnsi="Arial" w:cs="Arial"/>
          <w:b/>
          <w:lang w:val="es-CR"/>
        </w:rPr>
        <w:t>28</w:t>
      </w:r>
      <w:r w:rsidRPr="00823D13">
        <w:rPr>
          <w:rFonts w:ascii="Arial" w:hAnsi="Arial" w:cs="Arial"/>
          <w:b/>
          <w:lang w:val="es-CR"/>
        </w:rPr>
        <w:t>-2019</w:t>
      </w:r>
    </w:p>
    <w:p w14:paraId="698F1F65" w14:textId="77777777" w:rsidR="00652F9D" w:rsidRPr="00823D13" w:rsidRDefault="00652F9D" w:rsidP="00652F9D">
      <w:pPr>
        <w:tabs>
          <w:tab w:val="left" w:pos="1704"/>
        </w:tabs>
        <w:autoSpaceDE w:val="0"/>
        <w:autoSpaceDN w:val="0"/>
        <w:adjustRightInd w:val="0"/>
        <w:jc w:val="both"/>
        <w:rPr>
          <w:rFonts w:ascii="Arial" w:hAnsi="Arial" w:cs="Arial"/>
          <w:b/>
          <w:sz w:val="28"/>
          <w:szCs w:val="28"/>
          <w:lang w:val="es-CR"/>
        </w:rPr>
      </w:pPr>
    </w:p>
    <w:p w14:paraId="32B45E07" w14:textId="3E5351C4" w:rsidR="00652F9D" w:rsidRPr="00823D13" w:rsidRDefault="00652F9D" w:rsidP="00652F9D">
      <w:pPr>
        <w:tabs>
          <w:tab w:val="left" w:pos="1704"/>
        </w:tabs>
        <w:autoSpaceDE w:val="0"/>
        <w:autoSpaceDN w:val="0"/>
        <w:adjustRightInd w:val="0"/>
        <w:jc w:val="both"/>
        <w:rPr>
          <w:rFonts w:ascii="Arial" w:hAnsi="Arial" w:cs="Arial"/>
          <w:lang w:val="es-CR"/>
        </w:rPr>
      </w:pPr>
      <w:r w:rsidRPr="00823D13">
        <w:rPr>
          <w:rFonts w:ascii="Arial" w:hAnsi="Arial" w:cs="Arial"/>
          <w:b/>
          <w:lang w:val="es-CR"/>
        </w:rPr>
        <w:t>DE:</w:t>
      </w:r>
      <w:r w:rsidRPr="00823D13">
        <w:rPr>
          <w:rFonts w:ascii="Arial" w:hAnsi="Arial" w:cs="Arial"/>
          <w:lang w:val="es-CR"/>
        </w:rPr>
        <w:tab/>
        <w:t xml:space="preserve">MBA. Miguel Ovares Chavarría, </w:t>
      </w:r>
      <w:proofErr w:type="gramStart"/>
      <w:r w:rsidRPr="00823D13">
        <w:rPr>
          <w:rFonts w:ascii="Arial" w:hAnsi="Arial" w:cs="Arial"/>
          <w:lang w:val="es-CR"/>
        </w:rPr>
        <w:t>Jefe</w:t>
      </w:r>
      <w:proofErr w:type="gramEnd"/>
      <w:r w:rsidR="00823D13">
        <w:rPr>
          <w:rFonts w:ascii="Arial" w:hAnsi="Arial" w:cs="Arial"/>
          <w:lang w:val="es-CR"/>
        </w:rPr>
        <w:t xml:space="preserve"> </w:t>
      </w:r>
    </w:p>
    <w:p w14:paraId="4C880171" w14:textId="46C252E8" w:rsidR="00652F9D" w:rsidRPr="00823D13" w:rsidRDefault="00652F9D" w:rsidP="00652F9D">
      <w:pPr>
        <w:tabs>
          <w:tab w:val="left" w:pos="1704"/>
        </w:tabs>
        <w:autoSpaceDE w:val="0"/>
        <w:autoSpaceDN w:val="0"/>
        <w:adjustRightInd w:val="0"/>
        <w:jc w:val="both"/>
        <w:rPr>
          <w:rFonts w:ascii="Arial" w:hAnsi="Arial" w:cs="Arial"/>
          <w:lang w:val="es-CR"/>
        </w:rPr>
      </w:pPr>
      <w:r w:rsidRPr="00823D13">
        <w:rPr>
          <w:rFonts w:ascii="Arial" w:hAnsi="Arial" w:cs="Arial"/>
          <w:lang w:val="es-CR"/>
        </w:rPr>
        <w:t xml:space="preserve">                      </w:t>
      </w:r>
      <w:r w:rsidR="00864A7C">
        <w:rPr>
          <w:rFonts w:ascii="Arial" w:hAnsi="Arial" w:cs="Arial"/>
          <w:lang w:val="es-CR"/>
        </w:rPr>
        <w:tab/>
      </w:r>
      <w:r w:rsidRPr="00823D13">
        <w:rPr>
          <w:rFonts w:ascii="Arial" w:hAnsi="Arial" w:cs="Arial"/>
          <w:lang w:val="es-CR"/>
        </w:rPr>
        <w:t xml:space="preserve">Departamento de Proveeduría </w:t>
      </w:r>
    </w:p>
    <w:p w14:paraId="18AC3028" w14:textId="77777777" w:rsidR="00652F9D" w:rsidRPr="00823D13" w:rsidRDefault="00652F9D" w:rsidP="00652F9D">
      <w:pPr>
        <w:tabs>
          <w:tab w:val="left" w:pos="1704"/>
        </w:tabs>
        <w:autoSpaceDE w:val="0"/>
        <w:autoSpaceDN w:val="0"/>
        <w:adjustRightInd w:val="0"/>
        <w:jc w:val="both"/>
        <w:rPr>
          <w:rFonts w:ascii="Arial" w:hAnsi="Arial" w:cs="Arial"/>
          <w:b/>
          <w:lang w:val="es-CR"/>
        </w:rPr>
      </w:pPr>
    </w:p>
    <w:p w14:paraId="20C03BC9" w14:textId="77777777" w:rsidR="00652F9D" w:rsidRPr="00823D13" w:rsidRDefault="00652F9D" w:rsidP="00652F9D">
      <w:pPr>
        <w:autoSpaceDE w:val="0"/>
        <w:autoSpaceDN w:val="0"/>
        <w:adjustRightInd w:val="0"/>
        <w:ind w:left="1704" w:hanging="1704"/>
        <w:jc w:val="both"/>
        <w:rPr>
          <w:rFonts w:ascii="Arial" w:hAnsi="Arial" w:cs="Arial"/>
          <w:lang w:val="es-CR"/>
        </w:rPr>
      </w:pPr>
      <w:r w:rsidRPr="00823D13">
        <w:rPr>
          <w:rFonts w:ascii="Arial" w:hAnsi="Arial" w:cs="Arial"/>
          <w:b/>
          <w:lang w:val="es-CR"/>
        </w:rPr>
        <w:t>PARA:</w:t>
      </w:r>
      <w:r w:rsidRPr="00823D13">
        <w:rPr>
          <w:rFonts w:ascii="Arial" w:hAnsi="Arial" w:cs="Arial"/>
          <w:lang w:val="es-CR"/>
        </w:rPr>
        <w:tab/>
        <w:t>Administradores de Centros de Responsabilidad, Centros Gestores y usuarios en general que ejecutan compras a través del Departamento de Proveeduría.</w:t>
      </w:r>
    </w:p>
    <w:p w14:paraId="09C24BEA" w14:textId="77777777" w:rsidR="00652F9D" w:rsidRPr="00823D13" w:rsidRDefault="00652F9D" w:rsidP="00652F9D">
      <w:pPr>
        <w:autoSpaceDE w:val="0"/>
        <w:autoSpaceDN w:val="0"/>
        <w:adjustRightInd w:val="0"/>
        <w:rPr>
          <w:rFonts w:ascii="Arial" w:hAnsi="Arial" w:cs="Arial"/>
          <w:lang w:val="es-CR"/>
        </w:rPr>
      </w:pPr>
      <w:bookmarkStart w:id="0" w:name="_GoBack"/>
      <w:bookmarkEnd w:id="0"/>
    </w:p>
    <w:p w14:paraId="7DE704D4" w14:textId="1EDCB747" w:rsidR="00652F9D" w:rsidRPr="00823D13" w:rsidRDefault="00652F9D" w:rsidP="00652F9D">
      <w:pPr>
        <w:tabs>
          <w:tab w:val="left" w:pos="1704"/>
        </w:tabs>
        <w:autoSpaceDE w:val="0"/>
        <w:autoSpaceDN w:val="0"/>
        <w:adjustRightInd w:val="0"/>
        <w:ind w:left="1704" w:hanging="1704"/>
        <w:jc w:val="both"/>
        <w:rPr>
          <w:rFonts w:ascii="Arial" w:hAnsi="Arial" w:cs="Arial"/>
          <w:lang w:val="es-CR"/>
        </w:rPr>
      </w:pPr>
      <w:r w:rsidRPr="00823D13">
        <w:rPr>
          <w:rFonts w:ascii="Arial" w:hAnsi="Arial" w:cs="Arial"/>
          <w:b/>
          <w:lang w:val="es-CR"/>
        </w:rPr>
        <w:t>ASUNTO:</w:t>
      </w:r>
      <w:r w:rsidRPr="00823D13">
        <w:rPr>
          <w:rFonts w:ascii="Arial" w:hAnsi="Arial" w:cs="Arial"/>
          <w:lang w:val="es-CR"/>
        </w:rPr>
        <w:tab/>
      </w:r>
      <w:r w:rsidR="00B3410D" w:rsidRPr="00823D13">
        <w:rPr>
          <w:rFonts w:ascii="Arial" w:hAnsi="Arial" w:cs="Arial"/>
          <w:lang w:val="es-CR"/>
        </w:rPr>
        <w:t>Directrices para la elaboración de los</w:t>
      </w:r>
      <w:r w:rsidR="003A3061" w:rsidRPr="00823D13">
        <w:rPr>
          <w:rFonts w:ascii="Arial" w:hAnsi="Arial" w:cs="Arial"/>
          <w:lang w:val="es-CR"/>
        </w:rPr>
        <w:t xml:space="preserve"> estudios de mercado para los diferentes tipos de contrataciones que se ejecutan. </w:t>
      </w:r>
    </w:p>
    <w:p w14:paraId="22B13B65" w14:textId="77777777" w:rsidR="00652F9D" w:rsidRPr="00823D13" w:rsidRDefault="00652F9D" w:rsidP="00652F9D">
      <w:pPr>
        <w:tabs>
          <w:tab w:val="left" w:pos="1704"/>
        </w:tabs>
        <w:autoSpaceDE w:val="0"/>
        <w:autoSpaceDN w:val="0"/>
        <w:adjustRightInd w:val="0"/>
        <w:jc w:val="both"/>
        <w:rPr>
          <w:rFonts w:ascii="Arial" w:hAnsi="Arial" w:cs="Arial"/>
          <w:lang w:val="es-CR"/>
        </w:rPr>
      </w:pPr>
    </w:p>
    <w:p w14:paraId="21242F94" w14:textId="3BD39AED" w:rsidR="00652F9D" w:rsidRPr="00823D13" w:rsidRDefault="00652F9D" w:rsidP="00AC37B9">
      <w:pPr>
        <w:pBdr>
          <w:bottom w:val="single" w:sz="4" w:space="1" w:color="auto"/>
        </w:pBdr>
        <w:tabs>
          <w:tab w:val="left" w:pos="1704"/>
        </w:tabs>
        <w:autoSpaceDE w:val="0"/>
        <w:autoSpaceDN w:val="0"/>
        <w:adjustRightInd w:val="0"/>
        <w:jc w:val="both"/>
        <w:rPr>
          <w:rFonts w:ascii="Arial" w:hAnsi="Arial" w:cs="Arial"/>
          <w:lang w:val="es-CR"/>
        </w:rPr>
      </w:pPr>
      <w:r w:rsidRPr="00823D13">
        <w:rPr>
          <w:rFonts w:ascii="Arial" w:hAnsi="Arial" w:cs="Arial"/>
          <w:b/>
          <w:lang w:val="es-CR"/>
        </w:rPr>
        <w:t>FECHA:</w:t>
      </w:r>
      <w:r w:rsidRPr="00823D13">
        <w:rPr>
          <w:rFonts w:ascii="Arial" w:hAnsi="Arial" w:cs="Arial"/>
          <w:lang w:val="es-CR"/>
        </w:rPr>
        <w:tab/>
      </w:r>
      <w:r w:rsidR="00864A7C">
        <w:rPr>
          <w:rFonts w:ascii="Arial" w:hAnsi="Arial" w:cs="Arial"/>
          <w:lang w:val="es-CR"/>
        </w:rPr>
        <w:t>10</w:t>
      </w:r>
      <w:r w:rsidRPr="00823D13">
        <w:rPr>
          <w:rFonts w:ascii="Arial" w:hAnsi="Arial" w:cs="Arial"/>
          <w:lang w:val="es-CR"/>
        </w:rPr>
        <w:t xml:space="preserve"> de </w:t>
      </w:r>
      <w:r w:rsidR="00B3410D" w:rsidRPr="00823D13">
        <w:rPr>
          <w:rFonts w:ascii="Arial" w:hAnsi="Arial" w:cs="Arial"/>
          <w:lang w:val="es-CR"/>
        </w:rPr>
        <w:t>abril</w:t>
      </w:r>
      <w:r w:rsidRPr="00823D13">
        <w:rPr>
          <w:rFonts w:ascii="Arial" w:hAnsi="Arial" w:cs="Arial"/>
          <w:lang w:val="es-CR"/>
        </w:rPr>
        <w:t xml:space="preserve"> del 2019</w:t>
      </w:r>
    </w:p>
    <w:p w14:paraId="64EC8DAE" w14:textId="77777777" w:rsidR="003A3061" w:rsidRPr="00823D13" w:rsidRDefault="003A3061" w:rsidP="003A3061">
      <w:pPr>
        <w:spacing w:line="360" w:lineRule="auto"/>
        <w:jc w:val="both"/>
        <w:rPr>
          <w:rFonts w:ascii="Arial" w:hAnsi="Arial" w:cs="Arial"/>
          <w:sz w:val="28"/>
          <w:szCs w:val="28"/>
        </w:rPr>
      </w:pPr>
    </w:p>
    <w:p w14:paraId="491C12D0" w14:textId="10B2168E" w:rsidR="003A3061" w:rsidRPr="00823D13" w:rsidRDefault="003A3061" w:rsidP="00346993">
      <w:pPr>
        <w:spacing w:line="276" w:lineRule="auto"/>
        <w:jc w:val="both"/>
        <w:rPr>
          <w:rFonts w:ascii="Arial" w:hAnsi="Arial" w:cs="Arial"/>
        </w:rPr>
      </w:pPr>
      <w:r w:rsidRPr="00823D13">
        <w:rPr>
          <w:rFonts w:ascii="Arial" w:hAnsi="Arial" w:cs="Arial"/>
        </w:rPr>
        <w:t>Estimados compañeros (as) encargados (as) de Centros de Responsabilidad y personas usuarias en general que tramitan contrataciones, se informa que con el objetivo de facilitar el aporte de los estudios de mercado para las adquisiciones que se deben remitir a trámite, en adelante se deberá</w:t>
      </w:r>
      <w:r w:rsidR="00B3410D" w:rsidRPr="00823D13">
        <w:rPr>
          <w:rFonts w:ascii="Arial" w:hAnsi="Arial" w:cs="Arial"/>
        </w:rPr>
        <w:t>n</w:t>
      </w:r>
      <w:r w:rsidRPr="00823D13">
        <w:rPr>
          <w:rFonts w:ascii="Arial" w:hAnsi="Arial" w:cs="Arial"/>
        </w:rPr>
        <w:t xml:space="preserve"> considerar </w:t>
      </w:r>
      <w:r w:rsidR="00B3410D" w:rsidRPr="00823D13">
        <w:rPr>
          <w:rFonts w:ascii="Arial" w:hAnsi="Arial" w:cs="Arial"/>
        </w:rPr>
        <w:t>las siguientes pautas</w:t>
      </w:r>
      <w:r w:rsidRPr="00823D13">
        <w:rPr>
          <w:rFonts w:ascii="Arial" w:hAnsi="Arial" w:cs="Arial"/>
        </w:rPr>
        <w:t>:</w:t>
      </w:r>
    </w:p>
    <w:p w14:paraId="19ADA85B" w14:textId="77777777" w:rsidR="00B3410D" w:rsidRPr="00823D13" w:rsidRDefault="00B3410D" w:rsidP="00346993">
      <w:pPr>
        <w:spacing w:line="276" w:lineRule="auto"/>
        <w:jc w:val="both"/>
        <w:rPr>
          <w:rFonts w:ascii="Arial" w:hAnsi="Arial" w:cs="Arial"/>
        </w:rPr>
      </w:pPr>
    </w:p>
    <w:p w14:paraId="481EBF0A" w14:textId="78A5FB0B" w:rsidR="00823D13" w:rsidRPr="00864A7C" w:rsidRDefault="00E02390" w:rsidP="00346993">
      <w:pPr>
        <w:pStyle w:val="Prrafodelista"/>
        <w:numPr>
          <w:ilvl w:val="0"/>
          <w:numId w:val="16"/>
        </w:numPr>
        <w:jc w:val="both"/>
        <w:rPr>
          <w:rFonts w:ascii="Arial" w:hAnsi="Arial" w:cs="Arial"/>
          <w:sz w:val="24"/>
          <w:szCs w:val="24"/>
        </w:rPr>
      </w:pPr>
      <w:r w:rsidRPr="00864A7C">
        <w:rPr>
          <w:rFonts w:ascii="Arial" w:hAnsi="Arial" w:cs="Arial"/>
          <w:sz w:val="24"/>
          <w:szCs w:val="24"/>
        </w:rPr>
        <w:t>Para poder ejecutar un proceso de contratación</w:t>
      </w:r>
      <w:r w:rsidR="00F451B3" w:rsidRPr="00864A7C">
        <w:rPr>
          <w:rFonts w:ascii="Arial" w:hAnsi="Arial" w:cs="Arial"/>
          <w:sz w:val="24"/>
          <w:szCs w:val="24"/>
        </w:rPr>
        <w:t>,</w:t>
      </w:r>
      <w:r w:rsidRPr="00864A7C">
        <w:rPr>
          <w:rFonts w:ascii="Arial" w:hAnsi="Arial" w:cs="Arial"/>
          <w:sz w:val="24"/>
          <w:szCs w:val="24"/>
        </w:rPr>
        <w:t xml:space="preserve"> todos los centros de responsabilidad que ejecutan presupuesto </w:t>
      </w:r>
      <w:r w:rsidR="00F451B3" w:rsidRPr="00864A7C">
        <w:rPr>
          <w:rFonts w:ascii="Arial" w:hAnsi="Arial" w:cs="Arial"/>
          <w:sz w:val="24"/>
          <w:szCs w:val="24"/>
        </w:rPr>
        <w:t xml:space="preserve">de </w:t>
      </w:r>
      <w:r w:rsidRPr="00864A7C">
        <w:rPr>
          <w:rFonts w:ascii="Arial" w:hAnsi="Arial" w:cs="Arial"/>
          <w:sz w:val="24"/>
          <w:szCs w:val="24"/>
        </w:rPr>
        <w:t>previo</w:t>
      </w:r>
      <w:r w:rsidR="00F451B3" w:rsidRPr="00864A7C">
        <w:rPr>
          <w:rFonts w:ascii="Arial" w:hAnsi="Arial" w:cs="Arial"/>
          <w:sz w:val="24"/>
          <w:szCs w:val="24"/>
        </w:rPr>
        <w:t xml:space="preserve"> a realiza la gestión deben contar</w:t>
      </w:r>
      <w:r w:rsidRPr="00864A7C">
        <w:rPr>
          <w:rFonts w:ascii="Arial" w:hAnsi="Arial" w:cs="Arial"/>
          <w:sz w:val="24"/>
          <w:szCs w:val="24"/>
        </w:rPr>
        <w:t xml:space="preserve"> con el contenido presupuestario suficiente para atender el gasto que este genere</w:t>
      </w:r>
      <w:r w:rsidR="009F4119" w:rsidRPr="00864A7C">
        <w:rPr>
          <w:rFonts w:ascii="Arial" w:hAnsi="Arial" w:cs="Arial"/>
          <w:sz w:val="24"/>
          <w:szCs w:val="24"/>
        </w:rPr>
        <w:t xml:space="preserve"> (artículo </w:t>
      </w:r>
      <w:proofErr w:type="spellStart"/>
      <w:r w:rsidR="009F4119" w:rsidRPr="00864A7C">
        <w:rPr>
          <w:rFonts w:ascii="Arial" w:hAnsi="Arial" w:cs="Arial"/>
          <w:sz w:val="24"/>
          <w:szCs w:val="24"/>
        </w:rPr>
        <w:t>N°</w:t>
      </w:r>
      <w:proofErr w:type="spellEnd"/>
      <w:r w:rsidR="009F4119" w:rsidRPr="00864A7C">
        <w:rPr>
          <w:rFonts w:ascii="Arial" w:hAnsi="Arial" w:cs="Arial"/>
          <w:sz w:val="24"/>
          <w:szCs w:val="24"/>
        </w:rPr>
        <w:t xml:space="preserve"> 8 LCA)</w:t>
      </w:r>
      <w:r w:rsidRPr="00864A7C">
        <w:rPr>
          <w:rFonts w:ascii="Arial" w:hAnsi="Arial" w:cs="Arial"/>
          <w:sz w:val="24"/>
          <w:szCs w:val="24"/>
        </w:rPr>
        <w:t xml:space="preserve"> </w:t>
      </w:r>
      <w:r w:rsidR="00F451B3" w:rsidRPr="00864A7C">
        <w:rPr>
          <w:rFonts w:ascii="Arial" w:hAnsi="Arial" w:cs="Arial"/>
          <w:sz w:val="24"/>
          <w:szCs w:val="24"/>
        </w:rPr>
        <w:t>para lo cual debe apoyarse en el</w:t>
      </w:r>
      <w:r w:rsidRPr="00864A7C">
        <w:rPr>
          <w:rFonts w:ascii="Arial" w:hAnsi="Arial" w:cs="Arial"/>
          <w:sz w:val="24"/>
          <w:szCs w:val="24"/>
        </w:rPr>
        <w:t xml:space="preserve"> estudio de mercado</w:t>
      </w:r>
      <w:r w:rsidR="00F451B3" w:rsidRPr="00864A7C">
        <w:rPr>
          <w:rFonts w:ascii="Arial" w:hAnsi="Arial" w:cs="Arial"/>
          <w:sz w:val="24"/>
          <w:szCs w:val="24"/>
        </w:rPr>
        <w:t>, el cual</w:t>
      </w:r>
      <w:r w:rsidRPr="00864A7C">
        <w:rPr>
          <w:rFonts w:ascii="Arial" w:hAnsi="Arial" w:cs="Arial"/>
          <w:sz w:val="24"/>
          <w:szCs w:val="24"/>
        </w:rPr>
        <w:t xml:space="preserve"> es </w:t>
      </w:r>
      <w:r w:rsidR="006245E8" w:rsidRPr="00864A7C">
        <w:rPr>
          <w:rFonts w:ascii="Arial" w:hAnsi="Arial" w:cs="Arial"/>
          <w:sz w:val="24"/>
          <w:szCs w:val="24"/>
        </w:rPr>
        <w:t>una herramienta</w:t>
      </w:r>
      <w:r w:rsidRPr="00864A7C">
        <w:rPr>
          <w:rFonts w:ascii="Arial" w:hAnsi="Arial" w:cs="Arial"/>
          <w:sz w:val="24"/>
          <w:szCs w:val="24"/>
        </w:rPr>
        <w:t xml:space="preserve"> que debe ser utilizada </w:t>
      </w:r>
      <w:r w:rsidRPr="00864A7C">
        <w:rPr>
          <w:rFonts w:ascii="Arial" w:hAnsi="Arial" w:cs="Arial"/>
          <w:sz w:val="24"/>
          <w:szCs w:val="24"/>
          <w:u w:val="single"/>
        </w:rPr>
        <w:t>obligatoriamente</w:t>
      </w:r>
      <w:r w:rsidRPr="00864A7C">
        <w:rPr>
          <w:rFonts w:ascii="Arial" w:hAnsi="Arial" w:cs="Arial"/>
          <w:sz w:val="24"/>
          <w:szCs w:val="24"/>
        </w:rPr>
        <w:t xml:space="preserve"> para coadyuvar en la toma de decisiones en cuanto al alcance de la definición de especificaciones y el</w:t>
      </w:r>
      <w:r w:rsidR="00F451B3" w:rsidRPr="00864A7C">
        <w:rPr>
          <w:rFonts w:ascii="Arial" w:hAnsi="Arial" w:cs="Arial"/>
          <w:sz w:val="24"/>
          <w:szCs w:val="24"/>
        </w:rPr>
        <w:t xml:space="preserve"> establecimiento del</w:t>
      </w:r>
      <w:r w:rsidRPr="00864A7C">
        <w:rPr>
          <w:rFonts w:ascii="Arial" w:hAnsi="Arial" w:cs="Arial"/>
          <w:sz w:val="24"/>
          <w:szCs w:val="24"/>
        </w:rPr>
        <w:t xml:space="preserve"> disponible presupuest</w:t>
      </w:r>
      <w:r w:rsidR="00F451B3" w:rsidRPr="00864A7C">
        <w:rPr>
          <w:rFonts w:ascii="Arial" w:hAnsi="Arial" w:cs="Arial"/>
          <w:sz w:val="24"/>
          <w:szCs w:val="24"/>
        </w:rPr>
        <w:t>ario</w:t>
      </w:r>
      <w:r w:rsidRPr="00864A7C">
        <w:rPr>
          <w:rFonts w:ascii="Arial" w:hAnsi="Arial" w:cs="Arial"/>
          <w:sz w:val="24"/>
          <w:szCs w:val="24"/>
        </w:rPr>
        <w:t xml:space="preserve"> que se </w:t>
      </w:r>
      <w:r w:rsidR="009F4119" w:rsidRPr="00864A7C">
        <w:rPr>
          <w:rFonts w:ascii="Arial" w:hAnsi="Arial" w:cs="Arial"/>
          <w:sz w:val="24"/>
          <w:szCs w:val="24"/>
        </w:rPr>
        <w:t>va a</w:t>
      </w:r>
      <w:r w:rsidRPr="00864A7C">
        <w:rPr>
          <w:rFonts w:ascii="Arial" w:hAnsi="Arial" w:cs="Arial"/>
          <w:sz w:val="24"/>
          <w:szCs w:val="24"/>
        </w:rPr>
        <w:t xml:space="preserve"> asignar a la contratación.</w:t>
      </w:r>
    </w:p>
    <w:p w14:paraId="7F72E542" w14:textId="77777777" w:rsidR="00E02390" w:rsidRDefault="00E02390" w:rsidP="00E02390">
      <w:pPr>
        <w:pStyle w:val="Prrafodelista"/>
        <w:ind w:left="786"/>
        <w:jc w:val="both"/>
        <w:rPr>
          <w:rFonts w:ascii="Arial" w:hAnsi="Arial" w:cs="Arial"/>
          <w:sz w:val="24"/>
          <w:szCs w:val="24"/>
        </w:rPr>
      </w:pPr>
    </w:p>
    <w:p w14:paraId="29EA43EC" w14:textId="7BECD7C6" w:rsidR="00B3410D" w:rsidRPr="00823D13" w:rsidRDefault="00B3410D" w:rsidP="00346993">
      <w:pPr>
        <w:pStyle w:val="Prrafodelista"/>
        <w:numPr>
          <w:ilvl w:val="0"/>
          <w:numId w:val="16"/>
        </w:numPr>
        <w:jc w:val="both"/>
        <w:rPr>
          <w:rFonts w:ascii="Arial" w:hAnsi="Arial" w:cs="Arial"/>
          <w:sz w:val="24"/>
          <w:szCs w:val="24"/>
        </w:rPr>
      </w:pPr>
      <w:r w:rsidRPr="00823D13">
        <w:rPr>
          <w:rFonts w:ascii="Arial" w:hAnsi="Arial" w:cs="Arial"/>
          <w:sz w:val="24"/>
          <w:szCs w:val="24"/>
        </w:rPr>
        <w:t>Se debe aportar como estudio de mercado para todas aquellas compras que no superen el monto de 15 millones de colones, lo siguiente:</w:t>
      </w:r>
    </w:p>
    <w:p w14:paraId="7B3F65B4" w14:textId="57BA0480" w:rsidR="00B3410D" w:rsidRPr="00823D13" w:rsidRDefault="00B3410D" w:rsidP="00346993">
      <w:pPr>
        <w:spacing w:line="276" w:lineRule="auto"/>
        <w:ind w:left="1276" w:hanging="283"/>
        <w:jc w:val="both"/>
        <w:rPr>
          <w:rFonts w:ascii="Arial" w:hAnsi="Arial" w:cs="Arial"/>
        </w:rPr>
      </w:pPr>
      <w:r w:rsidRPr="00823D13">
        <w:rPr>
          <w:rFonts w:ascii="Arial" w:hAnsi="Arial" w:cs="Arial"/>
        </w:rPr>
        <w:t>a.</w:t>
      </w:r>
      <w:r w:rsidRPr="00823D13">
        <w:rPr>
          <w:rFonts w:ascii="Arial" w:hAnsi="Arial" w:cs="Arial"/>
        </w:rPr>
        <w:tab/>
        <w:t>Una proforma actualizada, o en su defecto una consulta en internet, ambos documentos con no m</w:t>
      </w:r>
      <w:r w:rsidR="000E468A" w:rsidRPr="00823D13">
        <w:rPr>
          <w:rFonts w:ascii="Arial" w:hAnsi="Arial" w:cs="Arial"/>
        </w:rPr>
        <w:t>á</w:t>
      </w:r>
      <w:r w:rsidR="00052FEA" w:rsidRPr="00823D13">
        <w:rPr>
          <w:rFonts w:ascii="Arial" w:hAnsi="Arial" w:cs="Arial"/>
        </w:rPr>
        <w:t>s</w:t>
      </w:r>
      <w:r w:rsidRPr="00823D13">
        <w:rPr>
          <w:rFonts w:ascii="Arial" w:hAnsi="Arial" w:cs="Arial"/>
        </w:rPr>
        <w:t xml:space="preserve"> de tres meses de expedidas, deberán ser proformas con especificaciones y cantidades atinentes al objeto contractual que se va a contratar, de forma tal que sean comparables con las ofertas recibidas al momento de evaluar la razonabilidad del precio, previo a la fase de recomendación de adjudicación.</w:t>
      </w:r>
    </w:p>
    <w:p w14:paraId="0BDB7A92" w14:textId="77777777" w:rsidR="00420409" w:rsidRPr="00823D13" w:rsidRDefault="00420409" w:rsidP="00346993">
      <w:pPr>
        <w:spacing w:line="276" w:lineRule="auto"/>
        <w:ind w:left="1276" w:hanging="283"/>
        <w:jc w:val="both"/>
        <w:rPr>
          <w:rFonts w:ascii="Arial" w:hAnsi="Arial" w:cs="Arial"/>
        </w:rPr>
      </w:pPr>
    </w:p>
    <w:p w14:paraId="369775A7" w14:textId="7A01C62D" w:rsidR="00B9361C" w:rsidRPr="00823D13" w:rsidRDefault="00B3410D" w:rsidP="00346993">
      <w:pPr>
        <w:spacing w:line="276" w:lineRule="auto"/>
        <w:ind w:left="1276" w:hanging="283"/>
        <w:jc w:val="both"/>
        <w:rPr>
          <w:rFonts w:ascii="Arial" w:hAnsi="Arial" w:cs="Arial"/>
        </w:rPr>
      </w:pPr>
      <w:r w:rsidRPr="00823D13">
        <w:rPr>
          <w:rFonts w:ascii="Arial" w:hAnsi="Arial" w:cs="Arial"/>
        </w:rPr>
        <w:t>b.</w:t>
      </w:r>
      <w:r w:rsidRPr="00823D13">
        <w:rPr>
          <w:rFonts w:ascii="Arial" w:hAnsi="Arial" w:cs="Arial"/>
        </w:rPr>
        <w:tab/>
        <w:t>Una referencia de un proceso de contratación anterior, que se haya realizado en los mismos términos que lo que se requiere contratar en l</w:t>
      </w:r>
      <w:r w:rsidR="00287EDC" w:rsidRPr="00823D13">
        <w:rPr>
          <w:rFonts w:ascii="Arial" w:hAnsi="Arial" w:cs="Arial"/>
        </w:rPr>
        <w:t>a</w:t>
      </w:r>
      <w:r w:rsidRPr="00823D13">
        <w:rPr>
          <w:rFonts w:ascii="Arial" w:hAnsi="Arial" w:cs="Arial"/>
        </w:rPr>
        <w:t xml:space="preserve"> nuev</w:t>
      </w:r>
      <w:r w:rsidR="00287EDC" w:rsidRPr="00823D13">
        <w:rPr>
          <w:rFonts w:ascii="Arial" w:hAnsi="Arial" w:cs="Arial"/>
        </w:rPr>
        <w:t>a</w:t>
      </w:r>
      <w:r w:rsidRPr="00823D13">
        <w:rPr>
          <w:rFonts w:ascii="Arial" w:hAnsi="Arial" w:cs="Arial"/>
        </w:rPr>
        <w:t xml:space="preserve"> </w:t>
      </w:r>
      <w:r w:rsidR="00287EDC" w:rsidRPr="00823D13">
        <w:rPr>
          <w:rFonts w:ascii="Arial" w:hAnsi="Arial" w:cs="Arial"/>
        </w:rPr>
        <w:t>compra</w:t>
      </w:r>
      <w:r w:rsidRPr="00823D13">
        <w:rPr>
          <w:rFonts w:ascii="Arial" w:hAnsi="Arial" w:cs="Arial"/>
        </w:rPr>
        <w:t xml:space="preserve">, </w:t>
      </w:r>
      <w:r w:rsidRPr="00823D13">
        <w:rPr>
          <w:rFonts w:ascii="Arial" w:hAnsi="Arial" w:cs="Arial"/>
        </w:rPr>
        <w:lastRenderedPageBreak/>
        <w:t xml:space="preserve">entiéndase que al menos tenga las mismas especificaciones técnicas, además el proceso de contratación que se referencie deberá como mínimo haberse ejecutado en el ejercicio presupuestario anterior al actual, </w:t>
      </w:r>
      <w:r w:rsidR="00B9361C" w:rsidRPr="00823D13">
        <w:rPr>
          <w:rFonts w:ascii="Arial" w:hAnsi="Arial" w:cs="Arial"/>
        </w:rPr>
        <w:t>(por ejemplo si estamos en el ejercicio presupuestario del 2019, los procedimientos que se pueden referenciar son aquellos que recibieron ofertas en el ejercicio presupuestario del 2018). Adicionalmente, en caso de que por alguna razón, la cual debe estar debidamente justificada en el estudio que se remita, no sea posible disponer de referencias del ejercicio presupuestario anterior, serán de recibo aquellas referencias que se realicen de años anteriores a ese, en la medida que el precio referenciado se haya traído a valor presente y se demuestre en el estudio que se aporte</w:t>
      </w:r>
      <w:r w:rsidR="0087448A" w:rsidRPr="00823D13">
        <w:rPr>
          <w:rFonts w:ascii="Arial" w:hAnsi="Arial" w:cs="Arial"/>
        </w:rPr>
        <w:t>,</w:t>
      </w:r>
      <w:r w:rsidR="00B9361C" w:rsidRPr="00823D13">
        <w:rPr>
          <w:rFonts w:ascii="Arial" w:hAnsi="Arial" w:cs="Arial"/>
        </w:rPr>
        <w:t xml:space="preserve"> el método y los elementos que se utilizaron para su actualización.</w:t>
      </w:r>
    </w:p>
    <w:p w14:paraId="311C99F8" w14:textId="77777777" w:rsidR="00346993" w:rsidRPr="00823D13" w:rsidRDefault="00346993" w:rsidP="00346993">
      <w:pPr>
        <w:spacing w:line="276" w:lineRule="auto"/>
        <w:ind w:left="1276" w:hanging="283"/>
        <w:jc w:val="both"/>
        <w:rPr>
          <w:rFonts w:ascii="Arial" w:hAnsi="Arial" w:cs="Arial"/>
        </w:rPr>
      </w:pPr>
    </w:p>
    <w:p w14:paraId="53BD0923" w14:textId="074E14CC" w:rsidR="00B3410D" w:rsidRPr="00823D13" w:rsidRDefault="00B9361C" w:rsidP="00346993">
      <w:pPr>
        <w:spacing w:line="276" w:lineRule="auto"/>
        <w:ind w:left="1276"/>
        <w:jc w:val="both"/>
        <w:rPr>
          <w:rFonts w:ascii="Arial" w:hAnsi="Arial" w:cs="Arial"/>
        </w:rPr>
      </w:pPr>
      <w:r w:rsidRPr="00823D13">
        <w:rPr>
          <w:rFonts w:ascii="Arial" w:hAnsi="Arial" w:cs="Arial"/>
        </w:rPr>
        <w:t>E</w:t>
      </w:r>
      <w:r w:rsidR="00B3410D" w:rsidRPr="00823D13">
        <w:rPr>
          <w:rFonts w:ascii="Arial" w:hAnsi="Arial" w:cs="Arial"/>
        </w:rPr>
        <w:t>n caso de que se referencie</w:t>
      </w:r>
      <w:r w:rsidR="0087448A" w:rsidRPr="00823D13">
        <w:rPr>
          <w:rFonts w:ascii="Arial" w:hAnsi="Arial" w:cs="Arial"/>
        </w:rPr>
        <w:t>,</w:t>
      </w:r>
      <w:r w:rsidR="00B3410D" w:rsidRPr="00823D13">
        <w:rPr>
          <w:rFonts w:ascii="Arial" w:hAnsi="Arial" w:cs="Arial"/>
        </w:rPr>
        <w:t xml:space="preserve"> no solo el precio del adjudicatario de ese proceso, sino también el de todas las ofertas recibidas en ese momento, debe tenerse claro que solo se aceptarán como referencia ofertas que desde el punto de vista técnico y de razonabilidad del precio se hayan considerado como susceptibles de adjudicación</w:t>
      </w:r>
      <w:r w:rsidR="00287EDC" w:rsidRPr="00823D13">
        <w:rPr>
          <w:rFonts w:ascii="Arial" w:hAnsi="Arial" w:cs="Arial"/>
        </w:rPr>
        <w:t xml:space="preserve"> en ese momento</w:t>
      </w:r>
      <w:r w:rsidR="00B3410D" w:rsidRPr="00823D13">
        <w:rPr>
          <w:rFonts w:ascii="Arial" w:hAnsi="Arial" w:cs="Arial"/>
        </w:rPr>
        <w:t>.</w:t>
      </w:r>
    </w:p>
    <w:p w14:paraId="16145FE1" w14:textId="77777777" w:rsidR="00B3410D" w:rsidRPr="00823D13" w:rsidRDefault="00B3410D" w:rsidP="00346993">
      <w:pPr>
        <w:spacing w:line="276" w:lineRule="auto"/>
        <w:ind w:left="1276" w:hanging="283"/>
        <w:jc w:val="both"/>
        <w:rPr>
          <w:rFonts w:ascii="Arial" w:hAnsi="Arial" w:cs="Arial"/>
        </w:rPr>
      </w:pPr>
    </w:p>
    <w:p w14:paraId="26AEFE40" w14:textId="3D091037" w:rsidR="00B3410D" w:rsidRPr="00823D13" w:rsidRDefault="00B3410D" w:rsidP="00346993">
      <w:pPr>
        <w:spacing w:line="276" w:lineRule="auto"/>
        <w:ind w:left="1276" w:hanging="283"/>
        <w:jc w:val="both"/>
        <w:rPr>
          <w:rFonts w:ascii="Arial" w:hAnsi="Arial" w:cs="Arial"/>
        </w:rPr>
      </w:pPr>
      <w:r w:rsidRPr="00823D13">
        <w:rPr>
          <w:rFonts w:ascii="Arial" w:hAnsi="Arial" w:cs="Arial"/>
        </w:rPr>
        <w:t>c.</w:t>
      </w:r>
      <w:r w:rsidRPr="00823D13">
        <w:rPr>
          <w:rFonts w:ascii="Arial" w:hAnsi="Arial" w:cs="Arial"/>
        </w:rPr>
        <w:tab/>
        <w:t>En caso de que no sea posible referenciar un procedimiento anterior</w:t>
      </w:r>
      <w:r w:rsidR="00AF5A56" w:rsidRPr="00823D13">
        <w:rPr>
          <w:rFonts w:ascii="Arial" w:hAnsi="Arial" w:cs="Arial"/>
        </w:rPr>
        <w:t xml:space="preserve"> en los términos indicados en el punto b de esta circular</w:t>
      </w:r>
      <w:r w:rsidRPr="00823D13">
        <w:rPr>
          <w:rFonts w:ascii="Arial" w:hAnsi="Arial" w:cs="Arial"/>
        </w:rPr>
        <w:t>, el usuario podrá sustituir este requisito por otra proforma o por una consulta en internet, en los mismos términos definidos en el punto a.</w:t>
      </w:r>
    </w:p>
    <w:p w14:paraId="225CA9FB" w14:textId="77777777" w:rsidR="00B3410D" w:rsidRPr="00823D13" w:rsidRDefault="00B3410D" w:rsidP="00346993">
      <w:pPr>
        <w:spacing w:line="276" w:lineRule="auto"/>
        <w:ind w:left="1276" w:hanging="283"/>
        <w:jc w:val="both"/>
        <w:rPr>
          <w:rFonts w:ascii="Arial" w:hAnsi="Arial" w:cs="Arial"/>
        </w:rPr>
      </w:pPr>
    </w:p>
    <w:p w14:paraId="3313B83B" w14:textId="5D8F168B" w:rsidR="006F7677" w:rsidRPr="00823D13" w:rsidRDefault="006F7677" w:rsidP="00346993">
      <w:pPr>
        <w:pStyle w:val="Prrafodelista"/>
        <w:rPr>
          <w:rFonts w:ascii="Arial" w:hAnsi="Arial" w:cs="Arial"/>
          <w:sz w:val="24"/>
          <w:szCs w:val="24"/>
        </w:rPr>
      </w:pPr>
    </w:p>
    <w:p w14:paraId="29E486D8" w14:textId="7F02D715" w:rsidR="006F7677" w:rsidRPr="00823D13" w:rsidRDefault="006F7677" w:rsidP="00346993">
      <w:pPr>
        <w:pStyle w:val="Prrafodelista"/>
        <w:numPr>
          <w:ilvl w:val="0"/>
          <w:numId w:val="16"/>
        </w:numPr>
        <w:jc w:val="both"/>
        <w:rPr>
          <w:rFonts w:ascii="Arial" w:hAnsi="Arial" w:cs="Arial"/>
        </w:rPr>
      </w:pPr>
      <w:r w:rsidRPr="00823D13">
        <w:rPr>
          <w:rFonts w:ascii="Arial" w:hAnsi="Arial" w:cs="Arial"/>
          <w:sz w:val="24"/>
          <w:szCs w:val="24"/>
        </w:rPr>
        <w:t xml:space="preserve">Cabe señalar que, para compras superiores a los 15 millones de colones, se deberá atender lo ya previsto en las circulares </w:t>
      </w:r>
      <w:proofErr w:type="spellStart"/>
      <w:r w:rsidRPr="00823D13">
        <w:rPr>
          <w:rFonts w:ascii="Arial" w:hAnsi="Arial" w:cs="Arial"/>
          <w:sz w:val="24"/>
          <w:szCs w:val="24"/>
        </w:rPr>
        <w:t>N°</w:t>
      </w:r>
      <w:proofErr w:type="spellEnd"/>
      <w:r w:rsidRPr="00823D13">
        <w:rPr>
          <w:rFonts w:ascii="Arial" w:hAnsi="Arial" w:cs="Arial"/>
          <w:sz w:val="24"/>
          <w:szCs w:val="24"/>
        </w:rPr>
        <w:t xml:space="preserve"> 96-2017 y 14-2018, del Consejo Superior y de este Departamento, respectivamente</w:t>
      </w:r>
      <w:r w:rsidR="00D303D8" w:rsidRPr="00823D13">
        <w:rPr>
          <w:rFonts w:ascii="Arial" w:hAnsi="Arial" w:cs="Arial"/>
          <w:sz w:val="24"/>
          <w:szCs w:val="24"/>
        </w:rPr>
        <w:t>, no obstante, adicionalmente se deberá considerar lo siguiente</w:t>
      </w:r>
      <w:r w:rsidR="00D303D8" w:rsidRPr="00823D13">
        <w:rPr>
          <w:rFonts w:ascii="Arial" w:hAnsi="Arial" w:cs="Arial"/>
        </w:rPr>
        <w:t>:</w:t>
      </w:r>
    </w:p>
    <w:p w14:paraId="3F15CF74" w14:textId="77777777" w:rsidR="006F7677" w:rsidRPr="00823D13" w:rsidRDefault="006F7677" w:rsidP="00346993">
      <w:pPr>
        <w:spacing w:line="276" w:lineRule="auto"/>
        <w:jc w:val="both"/>
        <w:rPr>
          <w:rFonts w:ascii="Arial" w:hAnsi="Arial" w:cs="Arial"/>
        </w:rPr>
      </w:pPr>
    </w:p>
    <w:p w14:paraId="54698E09" w14:textId="169FC474" w:rsidR="0071580E" w:rsidRPr="00823D13" w:rsidRDefault="00D4304C" w:rsidP="00346993">
      <w:pPr>
        <w:pStyle w:val="Prrafodelista"/>
        <w:numPr>
          <w:ilvl w:val="0"/>
          <w:numId w:val="19"/>
        </w:numPr>
        <w:ind w:left="1276" w:hanging="283"/>
        <w:jc w:val="both"/>
        <w:rPr>
          <w:rFonts w:ascii="Arial" w:hAnsi="Arial" w:cs="Arial"/>
          <w:sz w:val="24"/>
          <w:szCs w:val="24"/>
        </w:rPr>
      </w:pPr>
      <w:r w:rsidRPr="00823D13">
        <w:rPr>
          <w:rFonts w:ascii="Arial" w:hAnsi="Arial" w:cs="Arial"/>
          <w:sz w:val="24"/>
          <w:szCs w:val="24"/>
        </w:rPr>
        <w:t>El estudio de mercado debe aportarse considerando el monto de la compra por línea y no el monto total de la contratación, lo anterior con el objetivo de que este análisis sea conteste con el que se aplica para establecer la razonabilidad del precio al momento de emitir el criterio técnico por parte de la oficina usuaria, esto quiere decir que si por ejemplo</w:t>
      </w:r>
      <w:r w:rsidR="00287EDC" w:rsidRPr="00823D13">
        <w:rPr>
          <w:rFonts w:ascii="Arial" w:hAnsi="Arial" w:cs="Arial"/>
          <w:sz w:val="24"/>
          <w:szCs w:val="24"/>
        </w:rPr>
        <w:t>,</w:t>
      </w:r>
      <w:r w:rsidRPr="00823D13">
        <w:rPr>
          <w:rFonts w:ascii="Arial" w:hAnsi="Arial" w:cs="Arial"/>
          <w:sz w:val="24"/>
          <w:szCs w:val="24"/>
        </w:rPr>
        <w:t xml:space="preserve"> tengo una compra de 3 líneas y una de ellas no supera los 15 millones, entonces para esa línea el estudio de mercado que se debe aportar solo debe considerar dos cotizaciones (conforme el detalle </w:t>
      </w:r>
      <w:r w:rsidR="00EF6119" w:rsidRPr="00823D13">
        <w:rPr>
          <w:rFonts w:ascii="Arial" w:hAnsi="Arial" w:cs="Arial"/>
          <w:sz w:val="24"/>
          <w:szCs w:val="24"/>
        </w:rPr>
        <w:t xml:space="preserve">definido </w:t>
      </w:r>
      <w:r w:rsidR="00EF6119" w:rsidRPr="00823D13">
        <w:rPr>
          <w:rFonts w:ascii="Arial" w:hAnsi="Arial" w:cs="Arial"/>
          <w:sz w:val="24"/>
          <w:szCs w:val="24"/>
        </w:rPr>
        <w:lastRenderedPageBreak/>
        <w:t xml:space="preserve">en el punto </w:t>
      </w:r>
      <w:r w:rsidR="00864A7C">
        <w:rPr>
          <w:rFonts w:ascii="Arial" w:hAnsi="Arial" w:cs="Arial"/>
          <w:sz w:val="24"/>
          <w:szCs w:val="24"/>
        </w:rPr>
        <w:t>2</w:t>
      </w:r>
      <w:r w:rsidR="00EF6119" w:rsidRPr="00823D13">
        <w:rPr>
          <w:rFonts w:ascii="Arial" w:hAnsi="Arial" w:cs="Arial"/>
          <w:sz w:val="24"/>
          <w:szCs w:val="24"/>
        </w:rPr>
        <w:t xml:space="preserve"> de esta circular</w:t>
      </w:r>
      <w:r w:rsidRPr="00823D13">
        <w:rPr>
          <w:rFonts w:ascii="Arial" w:hAnsi="Arial" w:cs="Arial"/>
          <w:sz w:val="24"/>
          <w:szCs w:val="24"/>
        </w:rPr>
        <w:t>) y no tres, pues individualmente esta línea no supera los 15 millones</w:t>
      </w:r>
      <w:r w:rsidR="009A2060" w:rsidRPr="00823D13">
        <w:rPr>
          <w:rFonts w:ascii="Arial" w:hAnsi="Arial" w:cs="Arial"/>
          <w:sz w:val="24"/>
          <w:szCs w:val="24"/>
        </w:rPr>
        <w:t xml:space="preserve">. </w:t>
      </w:r>
    </w:p>
    <w:p w14:paraId="00380052" w14:textId="77777777" w:rsidR="00287EDC" w:rsidRPr="00823D13" w:rsidRDefault="00287EDC" w:rsidP="00346993">
      <w:pPr>
        <w:pStyle w:val="Prrafodelista"/>
        <w:ind w:left="1276"/>
        <w:jc w:val="both"/>
        <w:rPr>
          <w:rFonts w:ascii="Arial" w:hAnsi="Arial" w:cs="Arial"/>
          <w:sz w:val="24"/>
          <w:szCs w:val="24"/>
        </w:rPr>
      </w:pPr>
    </w:p>
    <w:p w14:paraId="2457B902" w14:textId="041E62D9" w:rsidR="0071580E" w:rsidRPr="00823D13" w:rsidRDefault="00AE23C7" w:rsidP="00346993">
      <w:pPr>
        <w:pStyle w:val="Prrafodelista"/>
        <w:numPr>
          <w:ilvl w:val="0"/>
          <w:numId w:val="19"/>
        </w:numPr>
        <w:ind w:left="1276" w:hanging="283"/>
        <w:jc w:val="both"/>
        <w:rPr>
          <w:rFonts w:ascii="Arial" w:hAnsi="Arial" w:cs="Arial"/>
          <w:sz w:val="24"/>
          <w:szCs w:val="24"/>
        </w:rPr>
      </w:pPr>
      <w:r w:rsidRPr="00823D13">
        <w:rPr>
          <w:rFonts w:ascii="Arial" w:hAnsi="Arial" w:cs="Arial"/>
          <w:sz w:val="24"/>
          <w:szCs w:val="24"/>
        </w:rPr>
        <w:t>Para l</w:t>
      </w:r>
      <w:r w:rsidR="006F7677" w:rsidRPr="00823D13">
        <w:rPr>
          <w:rFonts w:ascii="Arial" w:hAnsi="Arial" w:cs="Arial"/>
          <w:sz w:val="24"/>
          <w:szCs w:val="24"/>
        </w:rPr>
        <w:t>os procesos</w:t>
      </w:r>
      <w:r w:rsidR="009A2060" w:rsidRPr="00823D13">
        <w:rPr>
          <w:rFonts w:ascii="Arial" w:hAnsi="Arial" w:cs="Arial"/>
          <w:sz w:val="24"/>
          <w:szCs w:val="24"/>
        </w:rPr>
        <w:t xml:space="preserve"> en los cuales todas las líneas en forma individual su presupuesto </w:t>
      </w:r>
      <w:r w:rsidR="006F7677" w:rsidRPr="00823D13">
        <w:rPr>
          <w:rFonts w:ascii="Arial" w:hAnsi="Arial" w:cs="Arial"/>
          <w:sz w:val="24"/>
          <w:szCs w:val="24"/>
        </w:rPr>
        <w:t xml:space="preserve">supere los 15 millones de colones, </w:t>
      </w:r>
      <w:r w:rsidR="009A2060" w:rsidRPr="00823D13">
        <w:rPr>
          <w:rFonts w:ascii="Arial" w:hAnsi="Arial" w:cs="Arial"/>
          <w:sz w:val="24"/>
          <w:szCs w:val="24"/>
        </w:rPr>
        <w:t>los estudios de mercado deberán elaborarse con al menos tres referencias o cotizaciones actualizadas de mercado, y también podrá</w:t>
      </w:r>
      <w:r w:rsidR="0071580E" w:rsidRPr="00823D13">
        <w:rPr>
          <w:rFonts w:ascii="Arial" w:hAnsi="Arial" w:cs="Arial"/>
          <w:sz w:val="24"/>
          <w:szCs w:val="24"/>
        </w:rPr>
        <w:t>n</w:t>
      </w:r>
      <w:r w:rsidR="009A2060" w:rsidRPr="00823D13">
        <w:rPr>
          <w:rFonts w:ascii="Arial" w:hAnsi="Arial" w:cs="Arial"/>
          <w:sz w:val="24"/>
          <w:szCs w:val="24"/>
        </w:rPr>
        <w:t xml:space="preserve"> completarse con referencias de procesos de compras anteriores</w:t>
      </w:r>
      <w:r w:rsidR="00287EDC" w:rsidRPr="00823D13">
        <w:rPr>
          <w:rFonts w:ascii="Arial" w:hAnsi="Arial" w:cs="Arial"/>
          <w:sz w:val="24"/>
          <w:szCs w:val="24"/>
        </w:rPr>
        <w:t xml:space="preserve"> en los siguientes términos:</w:t>
      </w:r>
    </w:p>
    <w:p w14:paraId="546137AD" w14:textId="77777777" w:rsidR="0071580E" w:rsidRPr="00823D13" w:rsidRDefault="0071580E" w:rsidP="00346993">
      <w:pPr>
        <w:pStyle w:val="Prrafodelista"/>
        <w:rPr>
          <w:rFonts w:ascii="Arial" w:hAnsi="Arial" w:cs="Arial"/>
          <w:sz w:val="24"/>
          <w:szCs w:val="24"/>
        </w:rPr>
      </w:pPr>
    </w:p>
    <w:p w14:paraId="177441B5" w14:textId="4F31CB9B" w:rsidR="00287EDC" w:rsidRPr="00823D13" w:rsidRDefault="0071580E" w:rsidP="00346993">
      <w:pPr>
        <w:pStyle w:val="Prrafodelista"/>
        <w:numPr>
          <w:ilvl w:val="0"/>
          <w:numId w:val="20"/>
        </w:numPr>
        <w:ind w:left="2163"/>
        <w:jc w:val="both"/>
        <w:rPr>
          <w:rFonts w:ascii="Arial" w:hAnsi="Arial" w:cs="Arial"/>
          <w:sz w:val="24"/>
          <w:szCs w:val="24"/>
        </w:rPr>
      </w:pPr>
      <w:r w:rsidRPr="00823D13">
        <w:rPr>
          <w:rFonts w:ascii="Arial" w:hAnsi="Arial" w:cs="Arial"/>
          <w:sz w:val="24"/>
          <w:szCs w:val="24"/>
        </w:rPr>
        <w:t>Se deberá aportar dos proformas actualizadas, o en su defecto dos consultas en internet, ambos documentos con no más de tres meses de expedidas, deberán ser proformas con especificaciones y cantidades atinentes al objeto contractual que se va a contratar, de forma tal que sean comparables en la fase de recomendación de adjudicación.</w:t>
      </w:r>
    </w:p>
    <w:p w14:paraId="445CEA00" w14:textId="77777777" w:rsidR="00287EDC" w:rsidRPr="00823D13" w:rsidRDefault="00287EDC" w:rsidP="00346993">
      <w:pPr>
        <w:pStyle w:val="Prrafodelista"/>
        <w:ind w:left="2163"/>
        <w:jc w:val="both"/>
        <w:rPr>
          <w:rFonts w:ascii="Arial" w:hAnsi="Arial" w:cs="Arial"/>
          <w:sz w:val="24"/>
          <w:szCs w:val="24"/>
        </w:rPr>
      </w:pPr>
    </w:p>
    <w:p w14:paraId="08D4C66D" w14:textId="5FF03D16" w:rsidR="00287EDC" w:rsidRPr="00823D13" w:rsidRDefault="0071580E" w:rsidP="00346993">
      <w:pPr>
        <w:pStyle w:val="Prrafodelista"/>
        <w:numPr>
          <w:ilvl w:val="0"/>
          <w:numId w:val="20"/>
        </w:numPr>
        <w:ind w:left="2163"/>
        <w:jc w:val="both"/>
        <w:rPr>
          <w:rFonts w:ascii="Arial" w:hAnsi="Arial" w:cs="Arial"/>
          <w:sz w:val="24"/>
          <w:szCs w:val="24"/>
        </w:rPr>
      </w:pPr>
      <w:r w:rsidRPr="00823D13">
        <w:rPr>
          <w:rFonts w:ascii="Arial" w:hAnsi="Arial" w:cs="Arial"/>
          <w:sz w:val="24"/>
          <w:szCs w:val="24"/>
        </w:rPr>
        <w:t xml:space="preserve">Una referencia de un proceso de contratación anterior, conforme al detalle definido en el punto </w:t>
      </w:r>
      <w:r w:rsidR="00864A7C">
        <w:rPr>
          <w:rFonts w:ascii="Arial" w:hAnsi="Arial" w:cs="Arial"/>
          <w:sz w:val="24"/>
          <w:szCs w:val="24"/>
        </w:rPr>
        <w:t>2</w:t>
      </w:r>
      <w:r w:rsidRPr="00823D13">
        <w:rPr>
          <w:rFonts w:ascii="Arial" w:hAnsi="Arial" w:cs="Arial"/>
          <w:sz w:val="24"/>
          <w:szCs w:val="24"/>
        </w:rPr>
        <w:t>.b de esta circular.</w:t>
      </w:r>
    </w:p>
    <w:p w14:paraId="65CCFDF7" w14:textId="77777777" w:rsidR="00287EDC" w:rsidRPr="00823D13" w:rsidRDefault="00287EDC" w:rsidP="00346993">
      <w:pPr>
        <w:pStyle w:val="Prrafodelista"/>
        <w:ind w:left="1607"/>
        <w:rPr>
          <w:rFonts w:ascii="Arial" w:hAnsi="Arial" w:cs="Arial"/>
          <w:sz w:val="24"/>
          <w:szCs w:val="24"/>
        </w:rPr>
      </w:pPr>
    </w:p>
    <w:p w14:paraId="5291F297" w14:textId="499683BC" w:rsidR="0071580E" w:rsidRPr="00823D13" w:rsidRDefault="0071580E" w:rsidP="00346993">
      <w:pPr>
        <w:pStyle w:val="Prrafodelista"/>
        <w:numPr>
          <w:ilvl w:val="0"/>
          <w:numId w:val="20"/>
        </w:numPr>
        <w:ind w:left="2163" w:hanging="283"/>
        <w:jc w:val="both"/>
        <w:rPr>
          <w:rFonts w:ascii="Arial" w:hAnsi="Arial" w:cs="Arial"/>
          <w:sz w:val="24"/>
          <w:szCs w:val="24"/>
        </w:rPr>
      </w:pPr>
      <w:r w:rsidRPr="00823D13">
        <w:rPr>
          <w:rFonts w:ascii="Arial" w:hAnsi="Arial" w:cs="Arial"/>
          <w:sz w:val="24"/>
          <w:szCs w:val="24"/>
        </w:rPr>
        <w:t xml:space="preserve">En caso de que no sea posible referenciar un procedimiento anterior, el usuario podrá sustituir este requisito por otra proforma o por una consulta en internet, en los mismos términos definidos en </w:t>
      </w:r>
      <w:r w:rsidR="00287EDC" w:rsidRPr="00823D13">
        <w:rPr>
          <w:rFonts w:ascii="Arial" w:hAnsi="Arial" w:cs="Arial"/>
          <w:sz w:val="24"/>
          <w:szCs w:val="24"/>
        </w:rPr>
        <w:t xml:space="preserve">el punto </w:t>
      </w:r>
      <w:proofErr w:type="spellStart"/>
      <w:r w:rsidR="009E4CBD" w:rsidRPr="00823D13">
        <w:rPr>
          <w:rFonts w:ascii="Arial" w:hAnsi="Arial" w:cs="Arial"/>
          <w:sz w:val="24"/>
          <w:szCs w:val="24"/>
        </w:rPr>
        <w:t>b.</w:t>
      </w:r>
      <w:r w:rsidR="00287EDC" w:rsidRPr="00823D13">
        <w:rPr>
          <w:rFonts w:ascii="Arial" w:hAnsi="Arial" w:cs="Arial"/>
          <w:sz w:val="24"/>
          <w:szCs w:val="24"/>
        </w:rPr>
        <w:t>i</w:t>
      </w:r>
      <w:proofErr w:type="spellEnd"/>
      <w:r w:rsidR="00287EDC" w:rsidRPr="00823D13">
        <w:rPr>
          <w:rFonts w:ascii="Arial" w:hAnsi="Arial" w:cs="Arial"/>
          <w:sz w:val="24"/>
          <w:szCs w:val="24"/>
        </w:rPr>
        <w:t>.,</w:t>
      </w:r>
      <w:r w:rsidRPr="00823D13">
        <w:rPr>
          <w:rFonts w:ascii="Arial" w:hAnsi="Arial" w:cs="Arial"/>
          <w:sz w:val="24"/>
          <w:szCs w:val="24"/>
        </w:rPr>
        <w:t xml:space="preserve"> de esta </w:t>
      </w:r>
      <w:r w:rsidR="00346993" w:rsidRPr="00823D13">
        <w:rPr>
          <w:rFonts w:ascii="Arial" w:hAnsi="Arial" w:cs="Arial"/>
          <w:sz w:val="24"/>
          <w:szCs w:val="24"/>
        </w:rPr>
        <w:t>circular</w:t>
      </w:r>
      <w:r w:rsidRPr="00823D13">
        <w:rPr>
          <w:rFonts w:ascii="Arial" w:hAnsi="Arial" w:cs="Arial"/>
          <w:sz w:val="24"/>
          <w:szCs w:val="24"/>
        </w:rPr>
        <w:t>.</w:t>
      </w:r>
    </w:p>
    <w:p w14:paraId="441471A8" w14:textId="2E48A155" w:rsidR="0071580E" w:rsidRPr="00823D13" w:rsidRDefault="0071580E" w:rsidP="00346993">
      <w:pPr>
        <w:pStyle w:val="Prrafodelista"/>
        <w:ind w:left="2163"/>
        <w:jc w:val="both"/>
        <w:rPr>
          <w:rFonts w:ascii="Arial" w:hAnsi="Arial" w:cs="Arial"/>
          <w:sz w:val="24"/>
          <w:szCs w:val="24"/>
        </w:rPr>
      </w:pPr>
    </w:p>
    <w:p w14:paraId="0DD1026D" w14:textId="4C2F04B9" w:rsidR="0009679B" w:rsidRPr="00823D13" w:rsidRDefault="0009679B" w:rsidP="00346993">
      <w:pPr>
        <w:pStyle w:val="Prrafodelista"/>
        <w:numPr>
          <w:ilvl w:val="0"/>
          <w:numId w:val="16"/>
        </w:numPr>
        <w:jc w:val="both"/>
        <w:rPr>
          <w:rFonts w:ascii="Arial" w:hAnsi="Arial" w:cs="Arial"/>
          <w:sz w:val="24"/>
          <w:szCs w:val="24"/>
        </w:rPr>
      </w:pPr>
      <w:r w:rsidRPr="00823D13">
        <w:rPr>
          <w:rFonts w:ascii="Arial" w:hAnsi="Arial" w:cs="Arial"/>
          <w:sz w:val="24"/>
          <w:szCs w:val="24"/>
        </w:rPr>
        <w:t>En ningún caso serán de recibo como parte del estudio de mercado, las consultas de precios que el usuario pueda realizar de forma telefónica.</w:t>
      </w:r>
    </w:p>
    <w:p w14:paraId="6BE50649" w14:textId="77777777" w:rsidR="0009679B" w:rsidRPr="00823D13" w:rsidRDefault="0009679B" w:rsidP="0009679B">
      <w:pPr>
        <w:pStyle w:val="Prrafodelista"/>
        <w:ind w:left="786"/>
        <w:jc w:val="both"/>
        <w:rPr>
          <w:rFonts w:ascii="Arial" w:hAnsi="Arial" w:cs="Arial"/>
          <w:sz w:val="24"/>
          <w:szCs w:val="24"/>
        </w:rPr>
      </w:pPr>
    </w:p>
    <w:p w14:paraId="019746FB" w14:textId="42D4FDC1" w:rsidR="00346993" w:rsidRPr="00823D13" w:rsidRDefault="00346993" w:rsidP="00346993">
      <w:pPr>
        <w:pStyle w:val="Prrafodelista"/>
        <w:numPr>
          <w:ilvl w:val="0"/>
          <w:numId w:val="16"/>
        </w:numPr>
        <w:jc w:val="both"/>
        <w:rPr>
          <w:rFonts w:ascii="Arial" w:hAnsi="Arial" w:cs="Arial"/>
          <w:sz w:val="24"/>
          <w:szCs w:val="24"/>
        </w:rPr>
      </w:pPr>
      <w:r w:rsidRPr="00823D13">
        <w:rPr>
          <w:rFonts w:ascii="Arial" w:hAnsi="Arial" w:cs="Arial"/>
          <w:sz w:val="24"/>
          <w:szCs w:val="24"/>
        </w:rPr>
        <w:t>La información antes mencionada deberá remitirse adjunta a la requisición de compra, la cual además deberá estar acompañada de un análisis del estudio de mercado realizado, que permita establecer el precio promedio de mercado identificado y una definición del margen de tolerancia positivo o negativo, dentro del cual el precio ofertado se estaría considerando razonable al momento de adjudicar. Con el propósito de evitar devoluciones innecesarias, es obligatorio que en el estudio de mercado se incorpore la justificación de cómo se establecieron los márgenes superior e inferior para definir la razonabilidad del precio.</w:t>
      </w:r>
    </w:p>
    <w:p w14:paraId="3AD2E10D" w14:textId="77777777" w:rsidR="00346993" w:rsidRPr="00823D13" w:rsidRDefault="00346993" w:rsidP="00346993">
      <w:pPr>
        <w:pStyle w:val="Prrafodelista"/>
        <w:ind w:left="786"/>
        <w:jc w:val="both"/>
        <w:rPr>
          <w:rFonts w:ascii="Arial" w:hAnsi="Arial" w:cs="Arial"/>
          <w:sz w:val="24"/>
          <w:szCs w:val="24"/>
        </w:rPr>
      </w:pPr>
    </w:p>
    <w:p w14:paraId="676FAF9C" w14:textId="77777777" w:rsidR="006A4648" w:rsidRPr="00823D13" w:rsidRDefault="00346993" w:rsidP="000F4616">
      <w:pPr>
        <w:pStyle w:val="Prrafodelista"/>
        <w:numPr>
          <w:ilvl w:val="0"/>
          <w:numId w:val="16"/>
        </w:numPr>
        <w:jc w:val="both"/>
        <w:rPr>
          <w:rFonts w:ascii="Arial" w:hAnsi="Arial" w:cs="Arial"/>
          <w:sz w:val="24"/>
          <w:szCs w:val="24"/>
        </w:rPr>
      </w:pPr>
      <w:r w:rsidRPr="00823D13">
        <w:rPr>
          <w:rFonts w:ascii="Arial" w:hAnsi="Arial" w:cs="Arial"/>
          <w:sz w:val="24"/>
          <w:szCs w:val="24"/>
        </w:rPr>
        <w:t xml:space="preserve">Se debe considerar además, que la definición del estudio de mercado, su alcance e implicaciones, son de absoluta responsabilidad de la oficina usuaria que lo define, y que esta Proveeduría en la medida que no logre obtener claridad en lo aportado, </w:t>
      </w:r>
      <w:r w:rsidRPr="00823D13">
        <w:rPr>
          <w:rFonts w:ascii="Arial" w:hAnsi="Arial" w:cs="Arial"/>
          <w:sz w:val="24"/>
          <w:szCs w:val="24"/>
        </w:rPr>
        <w:lastRenderedPageBreak/>
        <w:t>solicitará, con base en lo establecido en el artículo 232 “Obligada colaboración” del Reglamento a la Ley de Contratación Administrativa, las ampliaciones o justificaciones que considere oportunas y necesarias, para que el procedimiento de contratación quede respaldado al momento de realizar el proceso de adjudicación.</w:t>
      </w:r>
    </w:p>
    <w:p w14:paraId="42B0E171" w14:textId="77777777" w:rsidR="006A4648" w:rsidRPr="00823D13" w:rsidRDefault="006A4648" w:rsidP="006A4648">
      <w:pPr>
        <w:pStyle w:val="Prrafodelista"/>
        <w:rPr>
          <w:rFonts w:ascii="Arial" w:hAnsi="Arial" w:cs="Arial"/>
          <w:sz w:val="24"/>
          <w:szCs w:val="24"/>
        </w:rPr>
      </w:pPr>
    </w:p>
    <w:p w14:paraId="5D9FA734" w14:textId="77338431" w:rsidR="00346993" w:rsidRPr="00823D13" w:rsidRDefault="009F4119" w:rsidP="000F4616">
      <w:pPr>
        <w:pStyle w:val="Prrafodelista"/>
        <w:numPr>
          <w:ilvl w:val="0"/>
          <w:numId w:val="16"/>
        </w:numPr>
        <w:jc w:val="both"/>
        <w:rPr>
          <w:rFonts w:ascii="Arial" w:hAnsi="Arial" w:cs="Arial"/>
          <w:sz w:val="24"/>
          <w:szCs w:val="24"/>
        </w:rPr>
      </w:pPr>
      <w:r w:rsidRPr="00864A7C">
        <w:rPr>
          <w:rFonts w:ascii="Arial" w:hAnsi="Arial" w:cs="Arial"/>
          <w:sz w:val="24"/>
          <w:szCs w:val="24"/>
        </w:rPr>
        <w:t xml:space="preserve">Como se indicó en el punto 1, </w:t>
      </w:r>
      <w:r w:rsidR="006A4648" w:rsidRPr="00864A7C">
        <w:rPr>
          <w:rFonts w:ascii="Arial" w:hAnsi="Arial" w:cs="Arial"/>
          <w:sz w:val="24"/>
          <w:szCs w:val="24"/>
        </w:rPr>
        <w:t xml:space="preserve">los centros de responsabilidad deben contar de previo con el contenido presupuestario suficiente para atender el gasto </w:t>
      </w:r>
      <w:r w:rsidRPr="00864A7C">
        <w:rPr>
          <w:rFonts w:ascii="Arial" w:hAnsi="Arial" w:cs="Arial"/>
          <w:sz w:val="24"/>
          <w:szCs w:val="24"/>
        </w:rPr>
        <w:t>que se</w:t>
      </w:r>
      <w:r w:rsidR="006A4648" w:rsidRPr="00864A7C">
        <w:rPr>
          <w:rFonts w:ascii="Arial" w:hAnsi="Arial" w:cs="Arial"/>
          <w:sz w:val="24"/>
          <w:szCs w:val="24"/>
        </w:rPr>
        <w:t xml:space="preserve"> genere</w:t>
      </w:r>
      <w:r w:rsidRPr="00864A7C">
        <w:rPr>
          <w:rFonts w:ascii="Arial" w:hAnsi="Arial" w:cs="Arial"/>
          <w:sz w:val="24"/>
          <w:szCs w:val="24"/>
        </w:rPr>
        <w:t xml:space="preserve"> por medio del estudio de mercado,</w:t>
      </w:r>
      <w:r w:rsidR="006A4648" w:rsidRPr="00823D13">
        <w:rPr>
          <w:rFonts w:ascii="Arial" w:hAnsi="Arial" w:cs="Arial"/>
          <w:sz w:val="24"/>
          <w:szCs w:val="24"/>
        </w:rPr>
        <w:t xml:space="preserve"> de forma tal que, s</w:t>
      </w:r>
      <w:r w:rsidR="00346993" w:rsidRPr="00823D13">
        <w:rPr>
          <w:rFonts w:ascii="Arial" w:hAnsi="Arial" w:cs="Arial"/>
          <w:sz w:val="24"/>
          <w:szCs w:val="24"/>
        </w:rPr>
        <w:t xml:space="preserve">e </w:t>
      </w:r>
      <w:r w:rsidR="006A4648" w:rsidRPr="00823D13">
        <w:rPr>
          <w:rFonts w:ascii="Arial" w:hAnsi="Arial" w:cs="Arial"/>
          <w:sz w:val="24"/>
          <w:szCs w:val="24"/>
        </w:rPr>
        <w:t>debe considerar que una vez analizadas las implicaciones de los resultados obtenidos del mismo</w:t>
      </w:r>
      <w:r w:rsidR="00506464" w:rsidRPr="00823D13">
        <w:rPr>
          <w:rFonts w:ascii="Arial" w:hAnsi="Arial" w:cs="Arial"/>
          <w:sz w:val="24"/>
          <w:szCs w:val="24"/>
        </w:rPr>
        <w:t xml:space="preserve"> y tomada la decisión de ejecutar la adquisición que se requiere, </w:t>
      </w:r>
      <w:r w:rsidR="006A4648" w:rsidRPr="00823D13">
        <w:rPr>
          <w:rFonts w:ascii="Arial" w:hAnsi="Arial" w:cs="Arial"/>
          <w:sz w:val="24"/>
          <w:szCs w:val="24"/>
        </w:rPr>
        <w:t xml:space="preserve"> </w:t>
      </w:r>
      <w:r w:rsidR="00346993" w:rsidRPr="00823D13">
        <w:rPr>
          <w:rFonts w:ascii="Arial" w:hAnsi="Arial" w:cs="Arial"/>
          <w:sz w:val="24"/>
          <w:szCs w:val="24"/>
        </w:rPr>
        <w:t xml:space="preserve">el monto mínimo por el cual se debe confeccionar la requisición es aquel que se defina como precio promedio en el estudio de mercado, lo anterior con el objetivo de que la adjudicación quede cubierta en caso de que la oferta </w:t>
      </w:r>
      <w:r w:rsidR="00506464" w:rsidRPr="00823D13">
        <w:rPr>
          <w:rFonts w:ascii="Arial" w:hAnsi="Arial" w:cs="Arial"/>
          <w:sz w:val="24"/>
          <w:szCs w:val="24"/>
        </w:rPr>
        <w:t xml:space="preserve">adjudicada </w:t>
      </w:r>
      <w:r w:rsidR="00346993" w:rsidRPr="00823D13">
        <w:rPr>
          <w:rFonts w:ascii="Arial" w:hAnsi="Arial" w:cs="Arial"/>
          <w:sz w:val="24"/>
          <w:szCs w:val="24"/>
        </w:rPr>
        <w:t>se presente por un monto mayor al límite inferior definido en el mismo estudio, cabe señalar</w:t>
      </w:r>
      <w:r w:rsidR="00506464" w:rsidRPr="00823D13">
        <w:rPr>
          <w:rFonts w:ascii="Arial" w:hAnsi="Arial" w:cs="Arial"/>
          <w:sz w:val="24"/>
          <w:szCs w:val="24"/>
        </w:rPr>
        <w:t>,</w:t>
      </w:r>
      <w:r w:rsidR="00346993" w:rsidRPr="00823D13">
        <w:rPr>
          <w:rFonts w:ascii="Arial" w:hAnsi="Arial" w:cs="Arial"/>
          <w:sz w:val="24"/>
          <w:szCs w:val="24"/>
        </w:rPr>
        <w:t xml:space="preserve"> que en caso de que al momento de adjudicar el monto recomendado supere el monto reservado en la requisición, el centro gestor responsable de la contratación deberá remitir junto con el criterio de recomendación final, la requisición o certificación de contenido complementaria para suplir los recursos necesarios para adjudicar.</w:t>
      </w:r>
    </w:p>
    <w:p w14:paraId="50DE6B61" w14:textId="77777777" w:rsidR="00346993" w:rsidRPr="00823D13" w:rsidRDefault="00346993" w:rsidP="00346993">
      <w:pPr>
        <w:pStyle w:val="Prrafodelista"/>
        <w:ind w:left="786"/>
        <w:jc w:val="both"/>
        <w:rPr>
          <w:rFonts w:ascii="Arial" w:hAnsi="Arial" w:cs="Arial"/>
          <w:sz w:val="24"/>
          <w:szCs w:val="24"/>
        </w:rPr>
      </w:pPr>
    </w:p>
    <w:p w14:paraId="33621225" w14:textId="698DBD3F" w:rsidR="00346993" w:rsidRPr="00823D13" w:rsidRDefault="00346993" w:rsidP="00346993">
      <w:pPr>
        <w:pStyle w:val="Prrafodelista"/>
        <w:numPr>
          <w:ilvl w:val="0"/>
          <w:numId w:val="16"/>
        </w:numPr>
        <w:jc w:val="both"/>
        <w:rPr>
          <w:rFonts w:ascii="Arial" w:hAnsi="Arial" w:cs="Arial"/>
          <w:sz w:val="24"/>
          <w:szCs w:val="24"/>
        </w:rPr>
      </w:pPr>
      <w:r w:rsidRPr="00823D13">
        <w:rPr>
          <w:rFonts w:ascii="Arial" w:hAnsi="Arial" w:cs="Arial"/>
          <w:sz w:val="24"/>
          <w:szCs w:val="24"/>
        </w:rPr>
        <w:t>Es importante que se tenga claro que, al definir un margen superior e inferior se entiende que el centro gestor tiene capacidad económica para atender cualquier adjudicación que se recomiende dentro de ese rango, por lo que no será posible descartar ofertas cuyos precios se mantengan dentro de esos límites, en virtud de esto, será responsabilidad de la oficina gestora de la compra, valorar previamente y de forma adecuada el estudio de mercado que está realizando, de forma tal que los términos de referencia que se definan para la adquisición que se pretende realizar respondan a la realidad del mercado y a sus posibilidades económicas.</w:t>
      </w:r>
    </w:p>
    <w:p w14:paraId="09F6B35F" w14:textId="77777777" w:rsidR="006F7677" w:rsidRPr="00823D13" w:rsidRDefault="006F7677" w:rsidP="00346993">
      <w:pPr>
        <w:spacing w:line="276" w:lineRule="auto"/>
        <w:ind w:left="1276"/>
        <w:jc w:val="both"/>
        <w:rPr>
          <w:rFonts w:ascii="Arial" w:hAnsi="Arial" w:cs="Arial"/>
        </w:rPr>
      </w:pPr>
    </w:p>
    <w:p w14:paraId="489EFF86" w14:textId="60D2B628" w:rsidR="003654A7" w:rsidRPr="00823D13" w:rsidRDefault="006F7677" w:rsidP="003654A7">
      <w:pPr>
        <w:pStyle w:val="Prrafodelista"/>
        <w:numPr>
          <w:ilvl w:val="0"/>
          <w:numId w:val="16"/>
        </w:numPr>
        <w:jc w:val="both"/>
        <w:rPr>
          <w:rFonts w:ascii="Arial" w:hAnsi="Arial" w:cs="Arial"/>
          <w:sz w:val="24"/>
          <w:szCs w:val="24"/>
        </w:rPr>
      </w:pPr>
      <w:r w:rsidRPr="00823D13">
        <w:rPr>
          <w:rFonts w:ascii="Arial" w:hAnsi="Arial" w:cs="Arial"/>
          <w:sz w:val="24"/>
          <w:szCs w:val="24"/>
        </w:rPr>
        <w:t>Por último, es importante señalar que conforme lo establec</w:t>
      </w:r>
      <w:r w:rsidR="003654A7" w:rsidRPr="00823D13">
        <w:rPr>
          <w:rFonts w:ascii="Arial" w:hAnsi="Arial" w:cs="Arial"/>
          <w:sz w:val="24"/>
          <w:szCs w:val="24"/>
        </w:rPr>
        <w:t>ido por</w:t>
      </w:r>
      <w:r w:rsidRPr="00823D13">
        <w:rPr>
          <w:rFonts w:ascii="Arial" w:hAnsi="Arial" w:cs="Arial"/>
          <w:sz w:val="24"/>
          <w:szCs w:val="24"/>
        </w:rPr>
        <w:t xml:space="preserve"> el Consejo Superior </w:t>
      </w:r>
      <w:r w:rsidR="003654A7" w:rsidRPr="00823D13">
        <w:rPr>
          <w:rFonts w:ascii="Arial" w:hAnsi="Arial" w:cs="Arial"/>
          <w:sz w:val="24"/>
          <w:szCs w:val="24"/>
        </w:rPr>
        <w:t xml:space="preserve">el aporte de </w:t>
      </w:r>
      <w:r w:rsidRPr="00823D13">
        <w:rPr>
          <w:rFonts w:ascii="Arial" w:hAnsi="Arial" w:cs="Arial"/>
          <w:sz w:val="24"/>
          <w:szCs w:val="24"/>
        </w:rPr>
        <w:t>los estudios de mercado</w:t>
      </w:r>
      <w:r w:rsidR="003654A7" w:rsidRPr="00823D13">
        <w:rPr>
          <w:rFonts w:ascii="Arial" w:hAnsi="Arial" w:cs="Arial"/>
          <w:sz w:val="24"/>
          <w:szCs w:val="24"/>
        </w:rPr>
        <w:t xml:space="preserve"> es obligatorio </w:t>
      </w:r>
      <w:r w:rsidRPr="00823D13">
        <w:rPr>
          <w:rFonts w:ascii="Arial" w:hAnsi="Arial" w:cs="Arial"/>
          <w:sz w:val="24"/>
          <w:szCs w:val="24"/>
        </w:rPr>
        <w:t>en todo tipo de procedimiento de contratación</w:t>
      </w:r>
      <w:r w:rsidR="003654A7" w:rsidRPr="00823D13">
        <w:rPr>
          <w:rFonts w:ascii="Arial" w:hAnsi="Arial" w:cs="Arial"/>
          <w:sz w:val="24"/>
          <w:szCs w:val="24"/>
        </w:rPr>
        <w:t xml:space="preserve">, por lo que no existe por parte de la Proveeduría la posibilidad de aceptar gestiones que no cumplan con este requisito indispensable; por lo que no se aceptarán gestiones que se remitan en forma incompleta. En caso de que se le presente al centro gestor alguna situación particular que impida lograr la completitud de requerimientos del estudio de mercado, esta deberá ponerse en conocimiento del Depto de Proveeduría </w:t>
      </w:r>
      <w:r w:rsidR="00DA663B" w:rsidRPr="00823D13">
        <w:rPr>
          <w:rFonts w:ascii="Arial" w:hAnsi="Arial" w:cs="Arial"/>
          <w:sz w:val="24"/>
          <w:szCs w:val="24"/>
        </w:rPr>
        <w:t xml:space="preserve">de previo a gestionar la contratación, adjuntando </w:t>
      </w:r>
      <w:r w:rsidR="003654A7" w:rsidRPr="00823D13">
        <w:rPr>
          <w:rFonts w:ascii="Arial" w:hAnsi="Arial" w:cs="Arial"/>
          <w:sz w:val="24"/>
          <w:szCs w:val="24"/>
        </w:rPr>
        <w:t xml:space="preserve">las pruebas </w:t>
      </w:r>
      <w:r w:rsidR="003654A7" w:rsidRPr="00823D13">
        <w:rPr>
          <w:rFonts w:ascii="Arial" w:hAnsi="Arial" w:cs="Arial"/>
          <w:sz w:val="24"/>
          <w:szCs w:val="24"/>
        </w:rPr>
        <w:lastRenderedPageBreak/>
        <w:t>correspondientes, para valorar las acciones a seguir en caso de que corresponda</w:t>
      </w:r>
      <w:r w:rsidR="00DA663B" w:rsidRPr="00823D13">
        <w:rPr>
          <w:rFonts w:ascii="Arial" w:hAnsi="Arial" w:cs="Arial"/>
          <w:sz w:val="24"/>
          <w:szCs w:val="24"/>
        </w:rPr>
        <w:t>, caso contrario la requisición será devuelta sin trámite</w:t>
      </w:r>
      <w:r w:rsidR="003654A7" w:rsidRPr="00823D13">
        <w:rPr>
          <w:rFonts w:ascii="Arial" w:hAnsi="Arial" w:cs="Arial"/>
          <w:sz w:val="24"/>
          <w:szCs w:val="24"/>
        </w:rPr>
        <w:t>.</w:t>
      </w:r>
    </w:p>
    <w:p w14:paraId="2167376C" w14:textId="77777777" w:rsidR="00DA663B" w:rsidRPr="00823D13" w:rsidRDefault="00DA663B" w:rsidP="00DA663B">
      <w:pPr>
        <w:pStyle w:val="Prrafodelista"/>
        <w:rPr>
          <w:rFonts w:ascii="Arial" w:hAnsi="Arial" w:cs="Arial"/>
          <w:sz w:val="24"/>
          <w:szCs w:val="24"/>
        </w:rPr>
      </w:pPr>
    </w:p>
    <w:p w14:paraId="0EA314F2" w14:textId="267CA918" w:rsidR="00DA663B" w:rsidRPr="00823D13" w:rsidRDefault="00DA663B" w:rsidP="003654A7">
      <w:pPr>
        <w:pStyle w:val="Prrafodelista"/>
        <w:numPr>
          <w:ilvl w:val="0"/>
          <w:numId w:val="16"/>
        </w:numPr>
        <w:jc w:val="both"/>
        <w:rPr>
          <w:rFonts w:ascii="Arial" w:hAnsi="Arial" w:cs="Arial"/>
          <w:sz w:val="24"/>
          <w:szCs w:val="24"/>
        </w:rPr>
      </w:pPr>
      <w:r w:rsidRPr="00823D13">
        <w:rPr>
          <w:rFonts w:ascii="Arial" w:hAnsi="Arial" w:cs="Arial"/>
          <w:sz w:val="24"/>
          <w:szCs w:val="24"/>
        </w:rPr>
        <w:t xml:space="preserve">Esta circular deja sin efecto la circular </w:t>
      </w:r>
      <w:proofErr w:type="spellStart"/>
      <w:r w:rsidRPr="00823D13">
        <w:rPr>
          <w:rFonts w:ascii="Arial" w:hAnsi="Arial" w:cs="Arial"/>
          <w:sz w:val="24"/>
          <w:szCs w:val="24"/>
        </w:rPr>
        <w:t>N°</w:t>
      </w:r>
      <w:proofErr w:type="spellEnd"/>
      <w:r w:rsidRPr="00823D13">
        <w:rPr>
          <w:rFonts w:ascii="Arial" w:hAnsi="Arial" w:cs="Arial"/>
          <w:sz w:val="24"/>
          <w:szCs w:val="24"/>
        </w:rPr>
        <w:t xml:space="preserve"> 47-2018.</w:t>
      </w:r>
    </w:p>
    <w:p w14:paraId="49536021" w14:textId="73602BF0" w:rsidR="00652F9D" w:rsidRPr="00823D13" w:rsidRDefault="00652F9D" w:rsidP="00346993">
      <w:pPr>
        <w:spacing w:line="276" w:lineRule="auto"/>
        <w:jc w:val="both"/>
        <w:rPr>
          <w:rFonts w:ascii="Arial" w:hAnsi="Arial" w:cs="Arial"/>
          <w:sz w:val="28"/>
          <w:szCs w:val="28"/>
        </w:rPr>
      </w:pPr>
    </w:p>
    <w:p w14:paraId="4CBA2F42" w14:textId="2A582610" w:rsidR="000D3C9F" w:rsidRPr="00652F9D" w:rsidRDefault="00652F9D" w:rsidP="00CA6BB1">
      <w:pPr>
        <w:spacing w:line="276" w:lineRule="auto"/>
        <w:jc w:val="both"/>
      </w:pPr>
      <w:r w:rsidRPr="00823D13">
        <w:rPr>
          <w:rFonts w:ascii="Arial" w:hAnsi="Arial" w:cs="Arial"/>
          <w:sz w:val="22"/>
          <w:szCs w:val="22"/>
          <w:lang w:val="es-CR"/>
        </w:rPr>
        <w:t>YAR</w:t>
      </w:r>
    </w:p>
    <w:sectPr w:rsidR="000D3C9F" w:rsidRPr="00652F9D" w:rsidSect="00B3410D">
      <w:headerReference w:type="default" r:id="rId7"/>
      <w:footerReference w:type="default" r:id="rId8"/>
      <w:footnotePr>
        <w:pos w:val="beneathText"/>
      </w:footnotePr>
      <w:pgSz w:w="12242" w:h="15842" w:code="1"/>
      <w:pgMar w:top="703" w:right="1327" w:bottom="1009" w:left="1134" w:header="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45E16" w14:textId="77777777" w:rsidR="00285C35" w:rsidRDefault="00285C35">
      <w:r>
        <w:separator/>
      </w:r>
    </w:p>
  </w:endnote>
  <w:endnote w:type="continuationSeparator" w:id="0">
    <w:p w14:paraId="406D8C25" w14:textId="77777777" w:rsidR="00285C35" w:rsidRDefault="0028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FE05" w14:textId="77777777" w:rsidR="002E00B2" w:rsidRDefault="00910C11" w:rsidP="002E00B2">
    <w:pPr>
      <w:pStyle w:val="Piedepgina"/>
      <w:ind w:right="360"/>
      <w:jc w:val="center"/>
      <w:rPr>
        <w:b/>
        <w:i/>
      </w:rPr>
    </w:pPr>
    <w:r w:rsidRPr="00A07C97">
      <w:rPr>
        <w:smallCaps/>
        <w:sz w:val="12"/>
        <w:lang w:val="pt-BR"/>
      </w:rPr>
      <w:t xml:space="preserve">  </w:t>
    </w:r>
  </w:p>
  <w:tbl>
    <w:tblPr>
      <w:tblW w:w="8364" w:type="dxa"/>
      <w:jc w:val="center"/>
      <w:tblCellMar>
        <w:left w:w="70" w:type="dxa"/>
        <w:right w:w="70" w:type="dxa"/>
      </w:tblCellMar>
      <w:tblLook w:val="04A0" w:firstRow="1" w:lastRow="0" w:firstColumn="1" w:lastColumn="0" w:noHBand="0" w:noVBand="1"/>
    </w:tblPr>
    <w:tblGrid>
      <w:gridCol w:w="2835"/>
      <w:gridCol w:w="3261"/>
      <w:gridCol w:w="2268"/>
    </w:tblGrid>
    <w:tr w:rsidR="00482018" w:rsidRPr="00482018" w14:paraId="6BB2AE2B" w14:textId="77777777" w:rsidTr="00482018">
      <w:trPr>
        <w:trHeight w:val="288"/>
        <w:jc w:val="center"/>
      </w:trPr>
      <w:tc>
        <w:tcPr>
          <w:tcW w:w="2835" w:type="dxa"/>
          <w:tcBorders>
            <w:top w:val="single" w:sz="8" w:space="0" w:color="auto"/>
            <w:left w:val="nil"/>
            <w:bottom w:val="nil"/>
            <w:right w:val="nil"/>
          </w:tcBorders>
          <w:shd w:val="clear" w:color="auto" w:fill="auto"/>
          <w:vAlign w:val="center"/>
          <w:hideMark/>
        </w:tcPr>
        <w:p w14:paraId="099B6820" w14:textId="77777777" w:rsidR="00482018" w:rsidRPr="00482018" w:rsidRDefault="00482018" w:rsidP="00482018">
          <w:pPr>
            <w:suppressAutoHyphens w:val="0"/>
            <w:rPr>
              <w:rFonts w:ascii="Arial" w:hAnsi="Arial" w:cs="Arial"/>
              <w:b/>
              <w:bCs/>
              <w:color w:val="000000"/>
              <w:sz w:val="18"/>
              <w:szCs w:val="18"/>
              <w:lang w:val="es-CR" w:eastAsia="es-CR"/>
            </w:rPr>
          </w:pPr>
          <w:r w:rsidRPr="00482018">
            <w:rPr>
              <w:rFonts w:ascii="Arial" w:hAnsi="Arial" w:cs="Arial"/>
              <w:b/>
              <w:bCs/>
              <w:smallCaps/>
              <w:color w:val="000000"/>
              <w:sz w:val="18"/>
              <w:lang w:eastAsia="es-CR"/>
            </w:rPr>
            <w:t>TELÉFONO</w:t>
          </w:r>
          <w:r w:rsidRPr="00482018">
            <w:rPr>
              <w:rFonts w:ascii="Arial" w:hAnsi="Arial" w:cs="Arial"/>
              <w:b/>
              <w:bCs/>
              <w:smallCaps/>
              <w:color w:val="000000"/>
              <w:sz w:val="20"/>
              <w:szCs w:val="20"/>
              <w:lang w:eastAsia="es-CR"/>
            </w:rPr>
            <w:t xml:space="preserve">:  </w:t>
          </w:r>
          <w:r w:rsidRPr="00482018">
            <w:rPr>
              <w:rFonts w:ascii="Arial" w:hAnsi="Arial" w:cs="Arial"/>
              <w:b/>
              <w:bCs/>
              <w:i/>
              <w:iCs/>
              <w:smallCaps/>
              <w:color w:val="000000"/>
              <w:sz w:val="20"/>
              <w:szCs w:val="20"/>
              <w:lang w:eastAsia="es-CR"/>
            </w:rPr>
            <w:t>2295-3121</w:t>
          </w:r>
          <w:r w:rsidRPr="00482018">
            <w:rPr>
              <w:rFonts w:ascii="Arial" w:hAnsi="Arial" w:cs="Arial"/>
              <w:b/>
              <w:bCs/>
              <w:smallCaps/>
              <w:color w:val="000000"/>
              <w:sz w:val="20"/>
              <w:szCs w:val="20"/>
              <w:lang w:eastAsia="es-CR"/>
            </w:rPr>
            <w:t xml:space="preserve">          </w:t>
          </w:r>
        </w:p>
      </w:tc>
      <w:tc>
        <w:tcPr>
          <w:tcW w:w="3261" w:type="dxa"/>
          <w:tcBorders>
            <w:top w:val="single" w:sz="8" w:space="0" w:color="auto"/>
            <w:left w:val="nil"/>
            <w:bottom w:val="nil"/>
            <w:right w:val="nil"/>
          </w:tcBorders>
          <w:shd w:val="clear" w:color="auto" w:fill="auto"/>
          <w:vAlign w:val="center"/>
          <w:hideMark/>
        </w:tcPr>
        <w:p w14:paraId="29F654E4" w14:textId="77777777" w:rsidR="00482018" w:rsidRPr="00482018" w:rsidRDefault="00285C35" w:rsidP="00482018">
          <w:pPr>
            <w:suppressAutoHyphens w:val="0"/>
            <w:rPr>
              <w:rFonts w:ascii="Calibri" w:hAnsi="Calibri"/>
              <w:color w:val="0563C1"/>
              <w:sz w:val="22"/>
              <w:szCs w:val="22"/>
              <w:u w:val="single"/>
              <w:lang w:val="es-CR" w:eastAsia="es-CR"/>
            </w:rPr>
          </w:pPr>
          <w:hyperlink r:id="rId1" w:history="1">
            <w:r w:rsidR="00482018" w:rsidRPr="00482018">
              <w:rPr>
                <w:rFonts w:ascii="Calibri" w:hAnsi="Calibri"/>
                <w:color w:val="0563C1"/>
                <w:sz w:val="22"/>
                <w:szCs w:val="22"/>
                <w:u w:val="single"/>
                <w:lang w:val="es-CR" w:eastAsia="es-CR"/>
              </w:rPr>
              <w:t>proveeduria@Poder-Judicial.go.cr</w:t>
            </w:r>
          </w:hyperlink>
        </w:p>
      </w:tc>
      <w:tc>
        <w:tcPr>
          <w:tcW w:w="2268" w:type="dxa"/>
          <w:tcBorders>
            <w:top w:val="single" w:sz="8" w:space="0" w:color="auto"/>
            <w:left w:val="nil"/>
            <w:bottom w:val="nil"/>
            <w:right w:val="nil"/>
          </w:tcBorders>
          <w:shd w:val="clear" w:color="auto" w:fill="auto"/>
          <w:vAlign w:val="center"/>
          <w:hideMark/>
        </w:tcPr>
        <w:p w14:paraId="6A236A52" w14:textId="77777777" w:rsidR="00482018" w:rsidRPr="00482018" w:rsidRDefault="00482018" w:rsidP="00482018">
          <w:pPr>
            <w:suppressAutoHyphens w:val="0"/>
            <w:jc w:val="center"/>
            <w:rPr>
              <w:rFonts w:ascii="Arial" w:hAnsi="Arial" w:cs="Arial"/>
              <w:b/>
              <w:bCs/>
              <w:color w:val="000000"/>
              <w:sz w:val="20"/>
              <w:szCs w:val="20"/>
              <w:lang w:val="es-CR" w:eastAsia="es-CR"/>
            </w:rPr>
          </w:pPr>
          <w:r w:rsidRPr="00482018">
            <w:rPr>
              <w:rFonts w:ascii="Arial" w:hAnsi="Arial" w:cs="Arial"/>
              <w:b/>
              <w:bCs/>
              <w:color w:val="000000"/>
              <w:sz w:val="20"/>
              <w:szCs w:val="20"/>
              <w:lang w:eastAsia="es-CR"/>
            </w:rPr>
            <w:t xml:space="preserve">FAX: </w:t>
          </w:r>
          <w:r w:rsidRPr="00482018">
            <w:rPr>
              <w:rFonts w:ascii="Arial" w:hAnsi="Arial" w:cs="Arial"/>
              <w:b/>
              <w:bCs/>
              <w:i/>
              <w:iCs/>
              <w:color w:val="000000"/>
              <w:sz w:val="20"/>
              <w:szCs w:val="20"/>
              <w:lang w:eastAsia="es-CR"/>
            </w:rPr>
            <w:t>2221-8983</w:t>
          </w:r>
        </w:p>
      </w:tc>
    </w:tr>
  </w:tbl>
  <w:p w14:paraId="6B054A14" w14:textId="7389163C" w:rsidR="002E00B2" w:rsidRDefault="002E00B2" w:rsidP="002E00B2">
    <w:pPr>
      <w:pStyle w:val="Piedepgina"/>
      <w:ind w:right="360"/>
      <w:jc w:val="center"/>
      <w:rPr>
        <w:b/>
        <w:i/>
      </w:rPr>
    </w:pPr>
  </w:p>
  <w:p w14:paraId="1C32A5FF" w14:textId="17EFF135" w:rsidR="00910C11" w:rsidRDefault="00910C11" w:rsidP="002E00B2">
    <w:pPr>
      <w:pStyle w:val="Piedepgina"/>
      <w:ind w:right="360"/>
      <w:jc w:val="center"/>
      <w:rPr>
        <w:b/>
        <w:i/>
      </w:rPr>
    </w:pPr>
    <w:r>
      <w:rPr>
        <w:b/>
        <w:i/>
      </w:rPr>
      <w:t>“Justicia: Un pilar del desarrollo”</w:t>
    </w:r>
  </w:p>
  <w:p w14:paraId="5E16ED52" w14:textId="77777777" w:rsidR="00910C11" w:rsidRDefault="00910C11" w:rsidP="00910C11">
    <w:pPr>
      <w:pStyle w:val="Piedepgina"/>
      <w:jc w:val="right"/>
      <w:rPr>
        <w:b/>
        <w:i/>
      </w:rPr>
    </w:pPr>
    <w:r>
      <w:rPr>
        <w:b/>
        <w:i/>
      </w:rPr>
      <w:tab/>
      <w:t xml:space="preserve">Página </w:t>
    </w:r>
    <w:r w:rsidRPr="00910C11">
      <w:rPr>
        <w:b/>
        <w:i/>
      </w:rPr>
      <w:fldChar w:fldCharType="begin"/>
    </w:r>
    <w:r w:rsidRPr="00910C11">
      <w:rPr>
        <w:b/>
        <w:i/>
      </w:rPr>
      <w:instrText xml:space="preserve"> PAGE </w:instrText>
    </w:r>
    <w:r w:rsidRPr="00910C11">
      <w:rPr>
        <w:b/>
        <w:i/>
      </w:rPr>
      <w:fldChar w:fldCharType="separate"/>
    </w:r>
    <w:r>
      <w:rPr>
        <w:b/>
        <w:i/>
        <w:noProof/>
      </w:rPr>
      <w:t>1</w:t>
    </w:r>
    <w:r w:rsidRPr="00910C11">
      <w:rPr>
        <w:b/>
        <w:i/>
      </w:rPr>
      <w:fldChar w:fldCharType="end"/>
    </w:r>
    <w:r w:rsidRPr="00910C11">
      <w:rPr>
        <w:b/>
        <w:i/>
      </w:rPr>
      <w:t xml:space="preserve"> de </w:t>
    </w:r>
    <w:r w:rsidRPr="00910C11">
      <w:rPr>
        <w:b/>
        <w:i/>
      </w:rPr>
      <w:fldChar w:fldCharType="begin"/>
    </w:r>
    <w:r w:rsidRPr="00910C11">
      <w:rPr>
        <w:b/>
        <w:i/>
      </w:rPr>
      <w:instrText xml:space="preserve"> NUMPAGES </w:instrText>
    </w:r>
    <w:r w:rsidRPr="00910C11">
      <w:rPr>
        <w:b/>
        <w:i/>
      </w:rPr>
      <w:fldChar w:fldCharType="separate"/>
    </w:r>
    <w:r>
      <w:rPr>
        <w:b/>
        <w:i/>
        <w:noProof/>
      </w:rPr>
      <w:t>1</w:t>
    </w:r>
    <w:r w:rsidRPr="00910C11">
      <w:rPr>
        <w:b/>
        <w:i/>
      </w:rPr>
      <w:fldChar w:fldCharType="end"/>
    </w:r>
  </w:p>
  <w:p w14:paraId="309B39C8" w14:textId="77777777" w:rsidR="00910C11" w:rsidRDefault="00910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643CB" w14:textId="77777777" w:rsidR="00285C35" w:rsidRDefault="00285C35">
      <w:r>
        <w:separator/>
      </w:r>
    </w:p>
  </w:footnote>
  <w:footnote w:type="continuationSeparator" w:id="0">
    <w:p w14:paraId="76BF48EB" w14:textId="77777777" w:rsidR="00285C35" w:rsidRDefault="0028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C539" w14:textId="77777777" w:rsidR="002E00B2" w:rsidRDefault="002E00B2" w:rsidP="002E00B2">
    <w:pPr>
      <w:pStyle w:val="Encabezado"/>
      <w:tabs>
        <w:tab w:val="clear" w:pos="4252"/>
        <w:tab w:val="clear" w:pos="8504"/>
      </w:tabs>
      <w:ind w:right="1469"/>
      <w:rPr>
        <w:rStyle w:val="Hipervnculo"/>
        <w:rFonts w:ascii="Arial" w:hAnsi="Arial" w:cs="Arial"/>
        <w:sz w:val="20"/>
        <w:szCs w:val="20"/>
      </w:rPr>
    </w:pPr>
  </w:p>
  <w:p w14:paraId="3A5562CC" w14:textId="77777777" w:rsidR="002E00B2" w:rsidRDefault="002E00B2" w:rsidP="002E00B2">
    <w:pPr>
      <w:pStyle w:val="Encabezado"/>
      <w:tabs>
        <w:tab w:val="clear" w:pos="4252"/>
        <w:tab w:val="clear" w:pos="8504"/>
      </w:tabs>
      <w:ind w:right="1469"/>
      <w:rPr>
        <w:rStyle w:val="Hipervnculo"/>
        <w:rFonts w:ascii="Arial" w:hAnsi="Arial" w:cs="Arial"/>
        <w:sz w:val="20"/>
        <w:szCs w:val="20"/>
      </w:rPr>
    </w:pPr>
  </w:p>
  <w:p w14:paraId="764D5853" w14:textId="65525578" w:rsidR="002E00B2" w:rsidRDefault="00171EA1" w:rsidP="002E00B2">
    <w:pPr>
      <w:pStyle w:val="Encabezado"/>
      <w:tabs>
        <w:tab w:val="clear" w:pos="4252"/>
        <w:tab w:val="clear" w:pos="8504"/>
      </w:tabs>
      <w:ind w:right="1469"/>
      <w:rPr>
        <w:rStyle w:val="Hipervnculo"/>
        <w:rFonts w:ascii="Arial" w:hAnsi="Arial" w:cs="Arial"/>
        <w:sz w:val="20"/>
        <w:szCs w:val="20"/>
      </w:rPr>
    </w:pPr>
    <w:r>
      <w:rPr>
        <w:rFonts w:ascii="Calibri" w:hAnsi="Calibri"/>
        <w:noProof/>
      </w:rPr>
      <w:drawing>
        <wp:inline distT="0" distB="0" distL="0" distR="0" wp14:anchorId="32034033" wp14:editId="5789C0F7">
          <wp:extent cx="6210300" cy="8051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712" cy="805233"/>
                  </a:xfrm>
                  <a:prstGeom prst="rect">
                    <a:avLst/>
                  </a:prstGeom>
                  <a:noFill/>
                  <a:ln>
                    <a:noFill/>
                  </a:ln>
                </pic:spPr>
              </pic:pic>
            </a:graphicData>
          </a:graphic>
        </wp:inline>
      </w:drawing>
    </w:r>
  </w:p>
  <w:p w14:paraId="2F181F3F" w14:textId="1634F521" w:rsidR="002374C5" w:rsidRPr="00A172C7" w:rsidRDefault="00877FF3" w:rsidP="006D37D9">
    <w:pPr>
      <w:ind w:left="-284" w:firstLine="284"/>
      <w:jc w:val="center"/>
      <w:rPr>
        <w:rFonts w:ascii="Arial" w:hAnsi="Arial" w:cs="Arial"/>
        <w:sz w:val="10"/>
      </w:rPr>
    </w:pPr>
    <w:r w:rsidRPr="006F3E98">
      <w:rPr>
        <w:rFonts w:ascii="Arial" w:hAnsi="Arial" w:cs="Arial"/>
        <w:noProof/>
        <w:sz w:val="20"/>
        <w:szCs w:val="20"/>
      </w:rPr>
      <mc:AlternateContent>
        <mc:Choice Requires="wps">
          <w:drawing>
            <wp:anchor distT="0" distB="0" distL="89535" distR="89535" simplePos="0" relativeHeight="251745792" behindDoc="0" locked="0" layoutInCell="1" allowOverlap="1" wp14:anchorId="45359D1E" wp14:editId="36F1CA7D">
              <wp:simplePos x="0" y="0"/>
              <wp:positionH relativeFrom="page">
                <wp:posOffset>127591</wp:posOffset>
              </wp:positionH>
              <wp:positionV relativeFrom="page">
                <wp:posOffset>5316279</wp:posOffset>
              </wp:positionV>
              <wp:extent cx="563525" cy="2868649"/>
              <wp:effectExtent l="0" t="0" r="0" b="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5" cy="286864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5E4F9" w14:textId="587029F1" w:rsidR="002374C5" w:rsidRDefault="002374C5" w:rsidP="002374C5">
                          <w:pPr>
                            <w:jc w:val="center"/>
                            <w:rPr>
                              <w:sz w:val="18"/>
                            </w:rPr>
                          </w:pPr>
                        </w:p>
                        <w:p w14:paraId="6205D63E" w14:textId="14F9049C" w:rsidR="0021172F" w:rsidRDefault="0021172F" w:rsidP="002374C5">
                          <w:pPr>
                            <w:jc w:val="center"/>
                            <w:rPr>
                              <w:sz w:val="18"/>
                            </w:rPr>
                          </w:pPr>
                        </w:p>
                        <w:p w14:paraId="3032805B" w14:textId="1C72F8EE" w:rsidR="0021172F" w:rsidRDefault="0021172F" w:rsidP="002374C5">
                          <w:pPr>
                            <w:jc w:val="center"/>
                            <w:rPr>
                              <w:sz w:val="18"/>
                            </w:rPr>
                          </w:pPr>
                        </w:p>
                        <w:p w14:paraId="01C47C16" w14:textId="69D8FF41" w:rsidR="0021172F" w:rsidRDefault="0021172F" w:rsidP="002374C5">
                          <w:pPr>
                            <w:jc w:val="center"/>
                            <w:rPr>
                              <w:sz w:val="18"/>
                            </w:rPr>
                          </w:pPr>
                        </w:p>
                        <w:p w14:paraId="44C54159" w14:textId="77777777" w:rsidR="0021172F" w:rsidRDefault="0021172F" w:rsidP="002374C5">
                          <w:pPr>
                            <w:jc w:val="center"/>
                            <w:rPr>
                              <w:sz w:val="18"/>
                            </w:rPr>
                          </w:pPr>
                        </w:p>
                        <w:p w14:paraId="57825828" w14:textId="280AC3FD" w:rsidR="002374C5" w:rsidRDefault="002374C5" w:rsidP="002374C5">
                          <w:pPr>
                            <w:jc w:val="center"/>
                          </w:pPr>
                        </w:p>
                        <w:p w14:paraId="400D8911" w14:textId="5D458EB5" w:rsidR="00676A14" w:rsidRDefault="00676A14" w:rsidP="002374C5">
                          <w:pPr>
                            <w:jc w:val="center"/>
                          </w:pPr>
                        </w:p>
                        <w:p w14:paraId="1A4DB860" w14:textId="441F2017" w:rsidR="00961315" w:rsidRDefault="00961315" w:rsidP="00877FF3"/>
                        <w:p w14:paraId="791EFE06" w14:textId="35042D0F" w:rsidR="008357BE" w:rsidRDefault="008357BE" w:rsidP="002374C5">
                          <w:pPr>
                            <w:jc w:val="center"/>
                          </w:pPr>
                        </w:p>
                        <w:p w14:paraId="7C415C1B" w14:textId="727778D5" w:rsidR="008357BE" w:rsidRDefault="008357BE" w:rsidP="002374C5">
                          <w:pPr>
                            <w:jc w:val="center"/>
                          </w:pPr>
                        </w:p>
                        <w:p w14:paraId="6C637B7D" w14:textId="3F854AD8" w:rsidR="008357BE" w:rsidRDefault="008357BE" w:rsidP="002374C5">
                          <w:pPr>
                            <w:jc w:val="center"/>
                          </w:pPr>
                        </w:p>
                        <w:p w14:paraId="7795119D" w14:textId="2CD1A960" w:rsidR="008357BE" w:rsidRDefault="008357BE" w:rsidP="002374C5">
                          <w:pPr>
                            <w:jc w:val="center"/>
                          </w:pPr>
                        </w:p>
                        <w:p w14:paraId="03DB83A5" w14:textId="77777777" w:rsidR="008357BE" w:rsidRDefault="008357BE" w:rsidP="000846FA"/>
                        <w:p w14:paraId="5C7C6637" w14:textId="33D1B195" w:rsidR="00627EEC" w:rsidRDefault="00627EEC" w:rsidP="0096131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59D1E" id="_x0000_t202" coordsize="21600,21600" o:spt="202" path="m,l,21600r21600,l21600,xe">
              <v:stroke joinstyle="miter"/>
              <v:path gradientshapeok="t" o:connecttype="rect"/>
            </v:shapetype>
            <v:shape id="Text Box 4" o:spid="_x0000_s1026" type="#_x0000_t202" style="position:absolute;left:0;text-align:left;margin-left:10.05pt;margin-top:418.6pt;width:44.35pt;height:225.9pt;z-index:251745792;visibility:visible;mso-wrap-style:square;mso-width-percent:0;mso-height-percent:0;mso-wrap-distance-left:7.05pt;mso-wrap-distance-top:0;mso-wrap-distance-right:7.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" stroked="f">
              <v:fill opacity="0"/>
              <v:textbox inset="0,0,0,0">
                <w:txbxContent>
                  <w:p w14:paraId="5405E4F9" w14:textId="587029F1" w:rsidR="002374C5" w:rsidRDefault="002374C5" w:rsidP="002374C5">
                    <w:pPr>
                      <w:jc w:val="center"/>
                      <w:rPr>
                        <w:sz w:val="18"/>
                      </w:rPr>
                    </w:pPr>
                  </w:p>
                  <w:p w14:paraId="6205D63E" w14:textId="14F9049C" w:rsidR="0021172F" w:rsidRDefault="0021172F" w:rsidP="002374C5">
                    <w:pPr>
                      <w:jc w:val="center"/>
                      <w:rPr>
                        <w:sz w:val="18"/>
                      </w:rPr>
                    </w:pPr>
                  </w:p>
                  <w:p w14:paraId="3032805B" w14:textId="1C72F8EE" w:rsidR="0021172F" w:rsidRDefault="0021172F" w:rsidP="002374C5">
                    <w:pPr>
                      <w:jc w:val="center"/>
                      <w:rPr>
                        <w:sz w:val="18"/>
                      </w:rPr>
                    </w:pPr>
                  </w:p>
                  <w:p w14:paraId="01C47C16" w14:textId="69D8FF41" w:rsidR="0021172F" w:rsidRDefault="0021172F" w:rsidP="002374C5">
                    <w:pPr>
                      <w:jc w:val="center"/>
                      <w:rPr>
                        <w:sz w:val="18"/>
                      </w:rPr>
                    </w:pPr>
                  </w:p>
                  <w:p w14:paraId="44C54159" w14:textId="77777777" w:rsidR="0021172F" w:rsidRDefault="0021172F" w:rsidP="002374C5">
                    <w:pPr>
                      <w:jc w:val="center"/>
                      <w:rPr>
                        <w:sz w:val="18"/>
                      </w:rPr>
                    </w:pPr>
                  </w:p>
                  <w:p w14:paraId="57825828" w14:textId="280AC3FD" w:rsidR="002374C5" w:rsidRDefault="002374C5" w:rsidP="002374C5">
                    <w:pPr>
                      <w:jc w:val="center"/>
                    </w:pPr>
                  </w:p>
                  <w:p w14:paraId="400D8911" w14:textId="5D458EB5" w:rsidR="00676A14" w:rsidRDefault="00676A14" w:rsidP="002374C5">
                    <w:pPr>
                      <w:jc w:val="center"/>
                    </w:pPr>
                  </w:p>
                  <w:p w14:paraId="1A4DB860" w14:textId="441F2017" w:rsidR="00961315" w:rsidRDefault="00961315" w:rsidP="00877FF3"/>
                  <w:p w14:paraId="791EFE06" w14:textId="35042D0F" w:rsidR="008357BE" w:rsidRDefault="008357BE" w:rsidP="002374C5">
                    <w:pPr>
                      <w:jc w:val="center"/>
                    </w:pPr>
                  </w:p>
                  <w:p w14:paraId="7C415C1B" w14:textId="727778D5" w:rsidR="008357BE" w:rsidRDefault="008357BE" w:rsidP="002374C5">
                    <w:pPr>
                      <w:jc w:val="center"/>
                    </w:pPr>
                  </w:p>
                  <w:p w14:paraId="6C637B7D" w14:textId="3F854AD8" w:rsidR="008357BE" w:rsidRDefault="008357BE" w:rsidP="002374C5">
                    <w:pPr>
                      <w:jc w:val="center"/>
                    </w:pPr>
                  </w:p>
                  <w:p w14:paraId="7795119D" w14:textId="2CD1A960" w:rsidR="008357BE" w:rsidRDefault="008357BE" w:rsidP="002374C5">
                    <w:pPr>
                      <w:jc w:val="center"/>
                    </w:pPr>
                  </w:p>
                  <w:p w14:paraId="03DB83A5" w14:textId="77777777" w:rsidR="008357BE" w:rsidRDefault="008357BE" w:rsidP="000846FA"/>
                  <w:p w14:paraId="5C7C6637" w14:textId="33D1B195" w:rsidR="00627EEC" w:rsidRDefault="00627EEC" w:rsidP="00961315">
                    <w:pPr>
                      <w:jc w:val="center"/>
                    </w:pPr>
                  </w:p>
                </w:txbxContent>
              </v:textbox>
              <w10:wrap type="square" side="larges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pt;height:128.4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7155CA"/>
    <w:multiLevelType w:val="hybridMultilevel"/>
    <w:tmpl w:val="DC5C636E"/>
    <w:lvl w:ilvl="0" w:tplc="140A0019">
      <w:start w:val="1"/>
      <w:numFmt w:val="lowerLetter"/>
      <w:lvlText w:val="%1."/>
      <w:lvlJc w:val="left"/>
      <w:pPr>
        <w:ind w:left="1713" w:hanging="360"/>
      </w:pPr>
    </w:lvl>
    <w:lvl w:ilvl="1" w:tplc="140A0019" w:tentative="1">
      <w:start w:val="1"/>
      <w:numFmt w:val="lowerLetter"/>
      <w:lvlText w:val="%2."/>
      <w:lvlJc w:val="left"/>
      <w:pPr>
        <w:ind w:left="2433" w:hanging="360"/>
      </w:pPr>
    </w:lvl>
    <w:lvl w:ilvl="2" w:tplc="140A001B" w:tentative="1">
      <w:start w:val="1"/>
      <w:numFmt w:val="lowerRoman"/>
      <w:lvlText w:val="%3."/>
      <w:lvlJc w:val="right"/>
      <w:pPr>
        <w:ind w:left="3153" w:hanging="180"/>
      </w:pPr>
    </w:lvl>
    <w:lvl w:ilvl="3" w:tplc="140A000F" w:tentative="1">
      <w:start w:val="1"/>
      <w:numFmt w:val="decimal"/>
      <w:lvlText w:val="%4."/>
      <w:lvlJc w:val="left"/>
      <w:pPr>
        <w:ind w:left="3873" w:hanging="360"/>
      </w:pPr>
    </w:lvl>
    <w:lvl w:ilvl="4" w:tplc="140A0019" w:tentative="1">
      <w:start w:val="1"/>
      <w:numFmt w:val="lowerLetter"/>
      <w:lvlText w:val="%5."/>
      <w:lvlJc w:val="left"/>
      <w:pPr>
        <w:ind w:left="4593" w:hanging="360"/>
      </w:pPr>
    </w:lvl>
    <w:lvl w:ilvl="5" w:tplc="140A001B" w:tentative="1">
      <w:start w:val="1"/>
      <w:numFmt w:val="lowerRoman"/>
      <w:lvlText w:val="%6."/>
      <w:lvlJc w:val="right"/>
      <w:pPr>
        <w:ind w:left="5313" w:hanging="180"/>
      </w:pPr>
    </w:lvl>
    <w:lvl w:ilvl="6" w:tplc="140A000F" w:tentative="1">
      <w:start w:val="1"/>
      <w:numFmt w:val="decimal"/>
      <w:lvlText w:val="%7."/>
      <w:lvlJc w:val="left"/>
      <w:pPr>
        <w:ind w:left="6033" w:hanging="360"/>
      </w:pPr>
    </w:lvl>
    <w:lvl w:ilvl="7" w:tplc="140A0019" w:tentative="1">
      <w:start w:val="1"/>
      <w:numFmt w:val="lowerLetter"/>
      <w:lvlText w:val="%8."/>
      <w:lvlJc w:val="left"/>
      <w:pPr>
        <w:ind w:left="6753" w:hanging="360"/>
      </w:pPr>
    </w:lvl>
    <w:lvl w:ilvl="8" w:tplc="140A001B" w:tentative="1">
      <w:start w:val="1"/>
      <w:numFmt w:val="lowerRoman"/>
      <w:lvlText w:val="%9."/>
      <w:lvlJc w:val="right"/>
      <w:pPr>
        <w:ind w:left="7473" w:hanging="180"/>
      </w:pPr>
    </w:lvl>
  </w:abstractNum>
  <w:abstractNum w:abstractNumId="2" w15:restartNumberingAfterBreak="0">
    <w:nsid w:val="0E1E4BFF"/>
    <w:multiLevelType w:val="hybridMultilevel"/>
    <w:tmpl w:val="4F6EB606"/>
    <w:lvl w:ilvl="0" w:tplc="140A0019">
      <w:start w:val="1"/>
      <w:numFmt w:val="lowerLetter"/>
      <w:lvlText w:val="%1."/>
      <w:lvlJc w:val="left"/>
      <w:pPr>
        <w:ind w:left="1713" w:hanging="360"/>
      </w:pPr>
    </w:lvl>
    <w:lvl w:ilvl="1" w:tplc="140A0019" w:tentative="1">
      <w:start w:val="1"/>
      <w:numFmt w:val="lowerLetter"/>
      <w:lvlText w:val="%2."/>
      <w:lvlJc w:val="left"/>
      <w:pPr>
        <w:ind w:left="2433" w:hanging="360"/>
      </w:pPr>
    </w:lvl>
    <w:lvl w:ilvl="2" w:tplc="140A001B" w:tentative="1">
      <w:start w:val="1"/>
      <w:numFmt w:val="lowerRoman"/>
      <w:lvlText w:val="%3."/>
      <w:lvlJc w:val="right"/>
      <w:pPr>
        <w:ind w:left="3153" w:hanging="180"/>
      </w:pPr>
    </w:lvl>
    <w:lvl w:ilvl="3" w:tplc="140A000F" w:tentative="1">
      <w:start w:val="1"/>
      <w:numFmt w:val="decimal"/>
      <w:lvlText w:val="%4."/>
      <w:lvlJc w:val="left"/>
      <w:pPr>
        <w:ind w:left="3873" w:hanging="360"/>
      </w:pPr>
    </w:lvl>
    <w:lvl w:ilvl="4" w:tplc="140A0019" w:tentative="1">
      <w:start w:val="1"/>
      <w:numFmt w:val="lowerLetter"/>
      <w:lvlText w:val="%5."/>
      <w:lvlJc w:val="left"/>
      <w:pPr>
        <w:ind w:left="4593" w:hanging="360"/>
      </w:pPr>
    </w:lvl>
    <w:lvl w:ilvl="5" w:tplc="140A001B" w:tentative="1">
      <w:start w:val="1"/>
      <w:numFmt w:val="lowerRoman"/>
      <w:lvlText w:val="%6."/>
      <w:lvlJc w:val="right"/>
      <w:pPr>
        <w:ind w:left="5313" w:hanging="180"/>
      </w:pPr>
    </w:lvl>
    <w:lvl w:ilvl="6" w:tplc="140A000F" w:tentative="1">
      <w:start w:val="1"/>
      <w:numFmt w:val="decimal"/>
      <w:lvlText w:val="%7."/>
      <w:lvlJc w:val="left"/>
      <w:pPr>
        <w:ind w:left="6033" w:hanging="360"/>
      </w:pPr>
    </w:lvl>
    <w:lvl w:ilvl="7" w:tplc="140A0019" w:tentative="1">
      <w:start w:val="1"/>
      <w:numFmt w:val="lowerLetter"/>
      <w:lvlText w:val="%8."/>
      <w:lvlJc w:val="left"/>
      <w:pPr>
        <w:ind w:left="6753" w:hanging="360"/>
      </w:pPr>
    </w:lvl>
    <w:lvl w:ilvl="8" w:tplc="140A001B" w:tentative="1">
      <w:start w:val="1"/>
      <w:numFmt w:val="lowerRoman"/>
      <w:lvlText w:val="%9."/>
      <w:lvlJc w:val="right"/>
      <w:pPr>
        <w:ind w:left="7473" w:hanging="180"/>
      </w:pPr>
    </w:lvl>
  </w:abstractNum>
  <w:abstractNum w:abstractNumId="3" w15:restartNumberingAfterBreak="0">
    <w:nsid w:val="11912158"/>
    <w:multiLevelType w:val="hybridMultilevel"/>
    <w:tmpl w:val="B5C85C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FE1086"/>
    <w:multiLevelType w:val="hybridMultilevel"/>
    <w:tmpl w:val="151C2A08"/>
    <w:lvl w:ilvl="0" w:tplc="B1F0C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6CB738F"/>
    <w:multiLevelType w:val="hybridMultilevel"/>
    <w:tmpl w:val="167AAB2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355E0B"/>
    <w:multiLevelType w:val="hybridMultilevel"/>
    <w:tmpl w:val="E912EA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A406C81"/>
    <w:multiLevelType w:val="hybridMultilevel"/>
    <w:tmpl w:val="3886F648"/>
    <w:lvl w:ilvl="0" w:tplc="9B56D970">
      <w:start w:val="1"/>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8" w15:restartNumberingAfterBreak="0">
    <w:nsid w:val="3E7C5C2B"/>
    <w:multiLevelType w:val="hybridMultilevel"/>
    <w:tmpl w:val="6478B732"/>
    <w:lvl w:ilvl="0" w:tplc="140A0019">
      <w:start w:val="4"/>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1B2136A"/>
    <w:multiLevelType w:val="hybridMultilevel"/>
    <w:tmpl w:val="F126ECDE"/>
    <w:lvl w:ilvl="0" w:tplc="140A001B">
      <w:start w:val="1"/>
      <w:numFmt w:val="lowerRoman"/>
      <w:lvlText w:val="%1."/>
      <w:lvlJc w:val="right"/>
      <w:pPr>
        <w:ind w:left="2523" w:hanging="360"/>
      </w:pPr>
      <w:rPr>
        <w:rFonts w:hint="default"/>
      </w:rPr>
    </w:lvl>
    <w:lvl w:ilvl="1" w:tplc="140A0019" w:tentative="1">
      <w:start w:val="1"/>
      <w:numFmt w:val="lowerLetter"/>
      <w:lvlText w:val="%2."/>
      <w:lvlJc w:val="left"/>
      <w:pPr>
        <w:ind w:left="3243" w:hanging="360"/>
      </w:pPr>
    </w:lvl>
    <w:lvl w:ilvl="2" w:tplc="140A001B" w:tentative="1">
      <w:start w:val="1"/>
      <w:numFmt w:val="lowerRoman"/>
      <w:lvlText w:val="%3."/>
      <w:lvlJc w:val="right"/>
      <w:pPr>
        <w:ind w:left="3963" w:hanging="180"/>
      </w:pPr>
    </w:lvl>
    <w:lvl w:ilvl="3" w:tplc="140A000F" w:tentative="1">
      <w:start w:val="1"/>
      <w:numFmt w:val="decimal"/>
      <w:lvlText w:val="%4."/>
      <w:lvlJc w:val="left"/>
      <w:pPr>
        <w:ind w:left="4683" w:hanging="360"/>
      </w:pPr>
    </w:lvl>
    <w:lvl w:ilvl="4" w:tplc="140A0019" w:tentative="1">
      <w:start w:val="1"/>
      <w:numFmt w:val="lowerLetter"/>
      <w:lvlText w:val="%5."/>
      <w:lvlJc w:val="left"/>
      <w:pPr>
        <w:ind w:left="5403" w:hanging="360"/>
      </w:pPr>
    </w:lvl>
    <w:lvl w:ilvl="5" w:tplc="140A001B" w:tentative="1">
      <w:start w:val="1"/>
      <w:numFmt w:val="lowerRoman"/>
      <w:lvlText w:val="%6."/>
      <w:lvlJc w:val="right"/>
      <w:pPr>
        <w:ind w:left="6123" w:hanging="180"/>
      </w:pPr>
    </w:lvl>
    <w:lvl w:ilvl="6" w:tplc="140A000F" w:tentative="1">
      <w:start w:val="1"/>
      <w:numFmt w:val="decimal"/>
      <w:lvlText w:val="%7."/>
      <w:lvlJc w:val="left"/>
      <w:pPr>
        <w:ind w:left="6843" w:hanging="360"/>
      </w:pPr>
    </w:lvl>
    <w:lvl w:ilvl="7" w:tplc="140A0019" w:tentative="1">
      <w:start w:val="1"/>
      <w:numFmt w:val="lowerLetter"/>
      <w:lvlText w:val="%8."/>
      <w:lvlJc w:val="left"/>
      <w:pPr>
        <w:ind w:left="7563" w:hanging="360"/>
      </w:pPr>
    </w:lvl>
    <w:lvl w:ilvl="8" w:tplc="140A001B" w:tentative="1">
      <w:start w:val="1"/>
      <w:numFmt w:val="lowerRoman"/>
      <w:lvlText w:val="%9."/>
      <w:lvlJc w:val="right"/>
      <w:pPr>
        <w:ind w:left="8283" w:hanging="180"/>
      </w:pPr>
    </w:lvl>
  </w:abstractNum>
  <w:abstractNum w:abstractNumId="10" w15:restartNumberingAfterBreak="0">
    <w:nsid w:val="42CF51DD"/>
    <w:multiLevelType w:val="hybridMultilevel"/>
    <w:tmpl w:val="C8C6D2F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035472E"/>
    <w:multiLevelType w:val="multilevel"/>
    <w:tmpl w:val="2D5E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005CE"/>
    <w:multiLevelType w:val="hybridMultilevel"/>
    <w:tmpl w:val="26E0BC80"/>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B1178F"/>
    <w:multiLevelType w:val="hybridMultilevel"/>
    <w:tmpl w:val="0A166C3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03346CC"/>
    <w:multiLevelType w:val="hybridMultilevel"/>
    <w:tmpl w:val="A4B6842C"/>
    <w:lvl w:ilvl="0" w:tplc="1D6C11AE">
      <w:start w:val="1"/>
      <w:numFmt w:val="bullet"/>
      <w:lvlText w:val=""/>
      <w:lvlPicBulletId w:val="0"/>
      <w:lvlJc w:val="left"/>
      <w:pPr>
        <w:tabs>
          <w:tab w:val="num" w:pos="720"/>
        </w:tabs>
        <w:ind w:left="720" w:hanging="360"/>
      </w:pPr>
      <w:rPr>
        <w:rFonts w:ascii="Symbol" w:hAnsi="Symbol" w:hint="default"/>
      </w:rPr>
    </w:lvl>
    <w:lvl w:ilvl="1" w:tplc="9954C522" w:tentative="1">
      <w:start w:val="1"/>
      <w:numFmt w:val="bullet"/>
      <w:lvlText w:val=""/>
      <w:lvlJc w:val="left"/>
      <w:pPr>
        <w:tabs>
          <w:tab w:val="num" w:pos="1440"/>
        </w:tabs>
        <w:ind w:left="1440" w:hanging="360"/>
      </w:pPr>
      <w:rPr>
        <w:rFonts w:ascii="Symbol" w:hAnsi="Symbol" w:hint="default"/>
      </w:rPr>
    </w:lvl>
    <w:lvl w:ilvl="2" w:tplc="4FB2E14A" w:tentative="1">
      <w:start w:val="1"/>
      <w:numFmt w:val="bullet"/>
      <w:lvlText w:val=""/>
      <w:lvlJc w:val="left"/>
      <w:pPr>
        <w:tabs>
          <w:tab w:val="num" w:pos="2160"/>
        </w:tabs>
        <w:ind w:left="2160" w:hanging="360"/>
      </w:pPr>
      <w:rPr>
        <w:rFonts w:ascii="Symbol" w:hAnsi="Symbol" w:hint="default"/>
      </w:rPr>
    </w:lvl>
    <w:lvl w:ilvl="3" w:tplc="6CE27BA6" w:tentative="1">
      <w:start w:val="1"/>
      <w:numFmt w:val="bullet"/>
      <w:lvlText w:val=""/>
      <w:lvlJc w:val="left"/>
      <w:pPr>
        <w:tabs>
          <w:tab w:val="num" w:pos="2880"/>
        </w:tabs>
        <w:ind w:left="2880" w:hanging="360"/>
      </w:pPr>
      <w:rPr>
        <w:rFonts w:ascii="Symbol" w:hAnsi="Symbol" w:hint="default"/>
      </w:rPr>
    </w:lvl>
    <w:lvl w:ilvl="4" w:tplc="FFCA6E3A" w:tentative="1">
      <w:start w:val="1"/>
      <w:numFmt w:val="bullet"/>
      <w:lvlText w:val=""/>
      <w:lvlJc w:val="left"/>
      <w:pPr>
        <w:tabs>
          <w:tab w:val="num" w:pos="3600"/>
        </w:tabs>
        <w:ind w:left="3600" w:hanging="360"/>
      </w:pPr>
      <w:rPr>
        <w:rFonts w:ascii="Symbol" w:hAnsi="Symbol" w:hint="default"/>
      </w:rPr>
    </w:lvl>
    <w:lvl w:ilvl="5" w:tplc="301A9FC0" w:tentative="1">
      <w:start w:val="1"/>
      <w:numFmt w:val="bullet"/>
      <w:lvlText w:val=""/>
      <w:lvlJc w:val="left"/>
      <w:pPr>
        <w:tabs>
          <w:tab w:val="num" w:pos="4320"/>
        </w:tabs>
        <w:ind w:left="4320" w:hanging="360"/>
      </w:pPr>
      <w:rPr>
        <w:rFonts w:ascii="Symbol" w:hAnsi="Symbol" w:hint="default"/>
      </w:rPr>
    </w:lvl>
    <w:lvl w:ilvl="6" w:tplc="091E182C" w:tentative="1">
      <w:start w:val="1"/>
      <w:numFmt w:val="bullet"/>
      <w:lvlText w:val=""/>
      <w:lvlJc w:val="left"/>
      <w:pPr>
        <w:tabs>
          <w:tab w:val="num" w:pos="5040"/>
        </w:tabs>
        <w:ind w:left="5040" w:hanging="360"/>
      </w:pPr>
      <w:rPr>
        <w:rFonts w:ascii="Symbol" w:hAnsi="Symbol" w:hint="default"/>
      </w:rPr>
    </w:lvl>
    <w:lvl w:ilvl="7" w:tplc="B5D8BEA2" w:tentative="1">
      <w:start w:val="1"/>
      <w:numFmt w:val="bullet"/>
      <w:lvlText w:val=""/>
      <w:lvlJc w:val="left"/>
      <w:pPr>
        <w:tabs>
          <w:tab w:val="num" w:pos="5760"/>
        </w:tabs>
        <w:ind w:left="5760" w:hanging="360"/>
      </w:pPr>
      <w:rPr>
        <w:rFonts w:ascii="Symbol" w:hAnsi="Symbol" w:hint="default"/>
      </w:rPr>
    </w:lvl>
    <w:lvl w:ilvl="8" w:tplc="CEE6D79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2872728"/>
    <w:multiLevelType w:val="hybridMultilevel"/>
    <w:tmpl w:val="C8AAA63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35A49B9"/>
    <w:multiLevelType w:val="multilevel"/>
    <w:tmpl w:val="134A7F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52E5107"/>
    <w:multiLevelType w:val="hybridMultilevel"/>
    <w:tmpl w:val="80942AE0"/>
    <w:lvl w:ilvl="0" w:tplc="140A001B">
      <w:start w:val="1"/>
      <w:numFmt w:val="lowerRoman"/>
      <w:lvlText w:val="%1."/>
      <w:lvlJc w:val="right"/>
      <w:pPr>
        <w:ind w:left="2523" w:hanging="360"/>
      </w:pPr>
      <w:rPr>
        <w:rFonts w:hint="default"/>
      </w:rPr>
    </w:lvl>
    <w:lvl w:ilvl="1" w:tplc="140A0019" w:tentative="1">
      <w:start w:val="1"/>
      <w:numFmt w:val="lowerLetter"/>
      <w:lvlText w:val="%2."/>
      <w:lvlJc w:val="left"/>
      <w:pPr>
        <w:ind w:left="3243" w:hanging="360"/>
      </w:pPr>
    </w:lvl>
    <w:lvl w:ilvl="2" w:tplc="140A001B" w:tentative="1">
      <w:start w:val="1"/>
      <w:numFmt w:val="lowerRoman"/>
      <w:lvlText w:val="%3."/>
      <w:lvlJc w:val="right"/>
      <w:pPr>
        <w:ind w:left="3963" w:hanging="180"/>
      </w:pPr>
    </w:lvl>
    <w:lvl w:ilvl="3" w:tplc="140A000F" w:tentative="1">
      <w:start w:val="1"/>
      <w:numFmt w:val="decimal"/>
      <w:lvlText w:val="%4."/>
      <w:lvlJc w:val="left"/>
      <w:pPr>
        <w:ind w:left="4683" w:hanging="360"/>
      </w:pPr>
    </w:lvl>
    <w:lvl w:ilvl="4" w:tplc="140A0019" w:tentative="1">
      <w:start w:val="1"/>
      <w:numFmt w:val="lowerLetter"/>
      <w:lvlText w:val="%5."/>
      <w:lvlJc w:val="left"/>
      <w:pPr>
        <w:ind w:left="5403" w:hanging="360"/>
      </w:pPr>
    </w:lvl>
    <w:lvl w:ilvl="5" w:tplc="140A001B" w:tentative="1">
      <w:start w:val="1"/>
      <w:numFmt w:val="lowerRoman"/>
      <w:lvlText w:val="%6."/>
      <w:lvlJc w:val="right"/>
      <w:pPr>
        <w:ind w:left="6123" w:hanging="180"/>
      </w:pPr>
    </w:lvl>
    <w:lvl w:ilvl="6" w:tplc="140A000F" w:tentative="1">
      <w:start w:val="1"/>
      <w:numFmt w:val="decimal"/>
      <w:lvlText w:val="%7."/>
      <w:lvlJc w:val="left"/>
      <w:pPr>
        <w:ind w:left="6843" w:hanging="360"/>
      </w:pPr>
    </w:lvl>
    <w:lvl w:ilvl="7" w:tplc="140A0019" w:tentative="1">
      <w:start w:val="1"/>
      <w:numFmt w:val="lowerLetter"/>
      <w:lvlText w:val="%8."/>
      <w:lvlJc w:val="left"/>
      <w:pPr>
        <w:ind w:left="7563" w:hanging="360"/>
      </w:pPr>
    </w:lvl>
    <w:lvl w:ilvl="8" w:tplc="140A001B" w:tentative="1">
      <w:start w:val="1"/>
      <w:numFmt w:val="lowerRoman"/>
      <w:lvlText w:val="%9."/>
      <w:lvlJc w:val="right"/>
      <w:pPr>
        <w:ind w:left="8283" w:hanging="180"/>
      </w:pPr>
    </w:lvl>
  </w:abstractNum>
  <w:abstractNum w:abstractNumId="18" w15:restartNumberingAfterBreak="0">
    <w:nsid w:val="6C123C9C"/>
    <w:multiLevelType w:val="hybridMultilevel"/>
    <w:tmpl w:val="1E0C2C6E"/>
    <w:lvl w:ilvl="0" w:tplc="FE8289D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3BE0863"/>
    <w:multiLevelType w:val="hybridMultilevel"/>
    <w:tmpl w:val="C338AF4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C552010"/>
    <w:multiLevelType w:val="hybridMultilevel"/>
    <w:tmpl w:val="81C4B1A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6"/>
  </w:num>
  <w:num w:numId="10">
    <w:abstractNumId w:val="18"/>
  </w:num>
  <w:num w:numId="11">
    <w:abstractNumId w:val="5"/>
  </w:num>
  <w:num w:numId="12">
    <w:abstractNumId w:val="19"/>
  </w:num>
  <w:num w:numId="13">
    <w:abstractNumId w:val="10"/>
  </w:num>
  <w:num w:numId="14">
    <w:abstractNumId w:val="1"/>
  </w:num>
  <w:num w:numId="15">
    <w:abstractNumId w:val="8"/>
  </w:num>
  <w:num w:numId="16">
    <w:abstractNumId w:val="7"/>
  </w:num>
  <w:num w:numId="17">
    <w:abstractNumId w:val="2"/>
  </w:num>
  <w:num w:numId="18">
    <w:abstractNumId w:val="4"/>
  </w:num>
  <w:num w:numId="19">
    <w:abstractNumId w:val="13"/>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32"/>
    <w:rsid w:val="00000A5B"/>
    <w:rsid w:val="000164B1"/>
    <w:rsid w:val="00052FEA"/>
    <w:rsid w:val="0005519E"/>
    <w:rsid w:val="00055724"/>
    <w:rsid w:val="00084591"/>
    <w:rsid w:val="000846FA"/>
    <w:rsid w:val="00091081"/>
    <w:rsid w:val="00092D27"/>
    <w:rsid w:val="0009679B"/>
    <w:rsid w:val="000B36C9"/>
    <w:rsid w:val="000B4F01"/>
    <w:rsid w:val="000C41EB"/>
    <w:rsid w:val="000C68AD"/>
    <w:rsid w:val="000D17BD"/>
    <w:rsid w:val="000D1DA4"/>
    <w:rsid w:val="000D3588"/>
    <w:rsid w:val="000D3C9F"/>
    <w:rsid w:val="000E468A"/>
    <w:rsid w:val="000E5CAB"/>
    <w:rsid w:val="000F4E46"/>
    <w:rsid w:val="000F62B0"/>
    <w:rsid w:val="00135FFA"/>
    <w:rsid w:val="0015191A"/>
    <w:rsid w:val="00171EA1"/>
    <w:rsid w:val="001A732E"/>
    <w:rsid w:val="001B0971"/>
    <w:rsid w:val="001C7286"/>
    <w:rsid w:val="001D258B"/>
    <w:rsid w:val="001D2BCF"/>
    <w:rsid w:val="001E24E3"/>
    <w:rsid w:val="001F1528"/>
    <w:rsid w:val="001F67F9"/>
    <w:rsid w:val="0021172F"/>
    <w:rsid w:val="0021620E"/>
    <w:rsid w:val="00216B09"/>
    <w:rsid w:val="002374C5"/>
    <w:rsid w:val="0024776F"/>
    <w:rsid w:val="00251F24"/>
    <w:rsid w:val="002732F5"/>
    <w:rsid w:val="002767B1"/>
    <w:rsid w:val="00285C35"/>
    <w:rsid w:val="00287EDC"/>
    <w:rsid w:val="00291F22"/>
    <w:rsid w:val="002A00A5"/>
    <w:rsid w:val="002A458B"/>
    <w:rsid w:val="002D2D04"/>
    <w:rsid w:val="002E00B2"/>
    <w:rsid w:val="002F269A"/>
    <w:rsid w:val="002F4A99"/>
    <w:rsid w:val="002F66B7"/>
    <w:rsid w:val="00320418"/>
    <w:rsid w:val="00346993"/>
    <w:rsid w:val="003600DE"/>
    <w:rsid w:val="003654A7"/>
    <w:rsid w:val="00381B86"/>
    <w:rsid w:val="00387810"/>
    <w:rsid w:val="00392AFE"/>
    <w:rsid w:val="003A3061"/>
    <w:rsid w:val="003D0A3F"/>
    <w:rsid w:val="003D682A"/>
    <w:rsid w:val="003E7AAB"/>
    <w:rsid w:val="003F047E"/>
    <w:rsid w:val="00404489"/>
    <w:rsid w:val="00414179"/>
    <w:rsid w:val="00420409"/>
    <w:rsid w:val="00420D88"/>
    <w:rsid w:val="00445B72"/>
    <w:rsid w:val="00450489"/>
    <w:rsid w:val="00456D32"/>
    <w:rsid w:val="00482018"/>
    <w:rsid w:val="0049705D"/>
    <w:rsid w:val="004A5D61"/>
    <w:rsid w:val="004D14C2"/>
    <w:rsid w:val="004D202F"/>
    <w:rsid w:val="004D2571"/>
    <w:rsid w:val="004E1EC2"/>
    <w:rsid w:val="004E7E65"/>
    <w:rsid w:val="00506464"/>
    <w:rsid w:val="005368C2"/>
    <w:rsid w:val="00537602"/>
    <w:rsid w:val="00553D38"/>
    <w:rsid w:val="005A13F2"/>
    <w:rsid w:val="005A6139"/>
    <w:rsid w:val="005C63D9"/>
    <w:rsid w:val="005D5D0D"/>
    <w:rsid w:val="005E2A26"/>
    <w:rsid w:val="005F2C32"/>
    <w:rsid w:val="00617CAB"/>
    <w:rsid w:val="006245E8"/>
    <w:rsid w:val="00627EEC"/>
    <w:rsid w:val="00635ADB"/>
    <w:rsid w:val="00652F9D"/>
    <w:rsid w:val="00655658"/>
    <w:rsid w:val="00676A14"/>
    <w:rsid w:val="006815F6"/>
    <w:rsid w:val="006852FF"/>
    <w:rsid w:val="00693C7F"/>
    <w:rsid w:val="006A4648"/>
    <w:rsid w:val="006B0BFA"/>
    <w:rsid w:val="006C2351"/>
    <w:rsid w:val="006D37D9"/>
    <w:rsid w:val="006E033C"/>
    <w:rsid w:val="006E0F2B"/>
    <w:rsid w:val="006F3E98"/>
    <w:rsid w:val="006F7677"/>
    <w:rsid w:val="00700AC7"/>
    <w:rsid w:val="0071580E"/>
    <w:rsid w:val="00727CA2"/>
    <w:rsid w:val="00730BAB"/>
    <w:rsid w:val="00740E0F"/>
    <w:rsid w:val="00743A7F"/>
    <w:rsid w:val="00753EF0"/>
    <w:rsid w:val="00756DF8"/>
    <w:rsid w:val="00765BB5"/>
    <w:rsid w:val="00775DA3"/>
    <w:rsid w:val="00780087"/>
    <w:rsid w:val="0078528B"/>
    <w:rsid w:val="007C3BA6"/>
    <w:rsid w:val="007C60E1"/>
    <w:rsid w:val="007E2C4A"/>
    <w:rsid w:val="007E5559"/>
    <w:rsid w:val="007F6E7B"/>
    <w:rsid w:val="0081071E"/>
    <w:rsid w:val="00823D13"/>
    <w:rsid w:val="008250E8"/>
    <w:rsid w:val="008357BE"/>
    <w:rsid w:val="00851FB3"/>
    <w:rsid w:val="00864A7C"/>
    <w:rsid w:val="0087448A"/>
    <w:rsid w:val="00876B28"/>
    <w:rsid w:val="00877FF3"/>
    <w:rsid w:val="008C21EB"/>
    <w:rsid w:val="008C423D"/>
    <w:rsid w:val="008D7108"/>
    <w:rsid w:val="008E28EA"/>
    <w:rsid w:val="008E3D4F"/>
    <w:rsid w:val="008F4B40"/>
    <w:rsid w:val="008F769E"/>
    <w:rsid w:val="00910C11"/>
    <w:rsid w:val="009268D7"/>
    <w:rsid w:val="00942ADF"/>
    <w:rsid w:val="00961315"/>
    <w:rsid w:val="009760BB"/>
    <w:rsid w:val="00981A84"/>
    <w:rsid w:val="0098592A"/>
    <w:rsid w:val="00987D42"/>
    <w:rsid w:val="009A2060"/>
    <w:rsid w:val="009B059E"/>
    <w:rsid w:val="009B4699"/>
    <w:rsid w:val="009B6772"/>
    <w:rsid w:val="009D4084"/>
    <w:rsid w:val="009D7ACB"/>
    <w:rsid w:val="009E4CBD"/>
    <w:rsid w:val="009F142D"/>
    <w:rsid w:val="009F4119"/>
    <w:rsid w:val="00A05308"/>
    <w:rsid w:val="00A07C97"/>
    <w:rsid w:val="00A172C7"/>
    <w:rsid w:val="00A2322D"/>
    <w:rsid w:val="00A57C32"/>
    <w:rsid w:val="00A70749"/>
    <w:rsid w:val="00A74D70"/>
    <w:rsid w:val="00A76DAA"/>
    <w:rsid w:val="00A919C5"/>
    <w:rsid w:val="00A92A2A"/>
    <w:rsid w:val="00AB2399"/>
    <w:rsid w:val="00AB73FD"/>
    <w:rsid w:val="00AC37B9"/>
    <w:rsid w:val="00AE23C7"/>
    <w:rsid w:val="00AE5E13"/>
    <w:rsid w:val="00AE71C4"/>
    <w:rsid w:val="00AF1096"/>
    <w:rsid w:val="00AF3E69"/>
    <w:rsid w:val="00AF4F14"/>
    <w:rsid w:val="00AF5A56"/>
    <w:rsid w:val="00B232D8"/>
    <w:rsid w:val="00B30E69"/>
    <w:rsid w:val="00B32D7F"/>
    <w:rsid w:val="00B3410D"/>
    <w:rsid w:val="00B3691B"/>
    <w:rsid w:val="00B64284"/>
    <w:rsid w:val="00B7656E"/>
    <w:rsid w:val="00B910DC"/>
    <w:rsid w:val="00B9361C"/>
    <w:rsid w:val="00B93C83"/>
    <w:rsid w:val="00B9574D"/>
    <w:rsid w:val="00BC2E09"/>
    <w:rsid w:val="00BC6CD9"/>
    <w:rsid w:val="00BD551B"/>
    <w:rsid w:val="00C0636D"/>
    <w:rsid w:val="00C071BC"/>
    <w:rsid w:val="00C2088C"/>
    <w:rsid w:val="00C36830"/>
    <w:rsid w:val="00C43336"/>
    <w:rsid w:val="00C4445E"/>
    <w:rsid w:val="00C520CC"/>
    <w:rsid w:val="00C53E90"/>
    <w:rsid w:val="00C62B22"/>
    <w:rsid w:val="00C64827"/>
    <w:rsid w:val="00C64D29"/>
    <w:rsid w:val="00C7553F"/>
    <w:rsid w:val="00C84550"/>
    <w:rsid w:val="00C92347"/>
    <w:rsid w:val="00C96B6B"/>
    <w:rsid w:val="00CA5300"/>
    <w:rsid w:val="00CA6819"/>
    <w:rsid w:val="00CA6BB1"/>
    <w:rsid w:val="00CB4F22"/>
    <w:rsid w:val="00CB4FC4"/>
    <w:rsid w:val="00CC1AD3"/>
    <w:rsid w:val="00CD5EF1"/>
    <w:rsid w:val="00CE36C0"/>
    <w:rsid w:val="00CE5998"/>
    <w:rsid w:val="00D10DC0"/>
    <w:rsid w:val="00D23E87"/>
    <w:rsid w:val="00D303D8"/>
    <w:rsid w:val="00D334B4"/>
    <w:rsid w:val="00D4304C"/>
    <w:rsid w:val="00D574FC"/>
    <w:rsid w:val="00D577F8"/>
    <w:rsid w:val="00D60003"/>
    <w:rsid w:val="00D6006F"/>
    <w:rsid w:val="00D64A45"/>
    <w:rsid w:val="00D82998"/>
    <w:rsid w:val="00DA663B"/>
    <w:rsid w:val="00DA73F8"/>
    <w:rsid w:val="00DB6687"/>
    <w:rsid w:val="00DF550A"/>
    <w:rsid w:val="00DF5866"/>
    <w:rsid w:val="00E02390"/>
    <w:rsid w:val="00E1278B"/>
    <w:rsid w:val="00E279F8"/>
    <w:rsid w:val="00E310B5"/>
    <w:rsid w:val="00E438BF"/>
    <w:rsid w:val="00E64086"/>
    <w:rsid w:val="00E80392"/>
    <w:rsid w:val="00E840EE"/>
    <w:rsid w:val="00EA2B51"/>
    <w:rsid w:val="00EA5D95"/>
    <w:rsid w:val="00EB6850"/>
    <w:rsid w:val="00EC1863"/>
    <w:rsid w:val="00EC4DF7"/>
    <w:rsid w:val="00EF6119"/>
    <w:rsid w:val="00F04FDA"/>
    <w:rsid w:val="00F105E6"/>
    <w:rsid w:val="00F117F0"/>
    <w:rsid w:val="00F451B3"/>
    <w:rsid w:val="00F52384"/>
    <w:rsid w:val="00F664AB"/>
    <w:rsid w:val="00F7069F"/>
    <w:rsid w:val="00F71E46"/>
    <w:rsid w:val="00F73EB8"/>
    <w:rsid w:val="00F73F39"/>
    <w:rsid w:val="00F9193B"/>
    <w:rsid w:val="00FE1270"/>
    <w:rsid w:val="00FE14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66BF"/>
  <w15:chartTrackingRefBased/>
  <w15:docId w15:val="{5F6BED01-480C-45F9-90EE-0F962E2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qFormat/>
    <w:pPr>
      <w:keepNext/>
      <w:tabs>
        <w:tab w:val="num" w:pos="0"/>
      </w:tabs>
      <w:outlineLvl w:val="0"/>
    </w:pPr>
    <w:rPr>
      <w:rFonts w:ascii="Book Antiqua" w:hAnsi="Book Antiqua"/>
      <w:b/>
      <w:sz w:val="22"/>
      <w:szCs w:val="20"/>
      <w:lang w:val="es-CR"/>
    </w:rPr>
  </w:style>
  <w:style w:type="paragraph" w:styleId="Ttulo2">
    <w:name w:val="heading 2"/>
    <w:basedOn w:val="Normal"/>
    <w:next w:val="Normal"/>
    <w:qFormat/>
    <w:pPr>
      <w:keepNext/>
      <w:tabs>
        <w:tab w:val="num" w:pos="0"/>
      </w:tabs>
      <w:spacing w:before="240" w:after="60"/>
      <w:outlineLvl w:val="1"/>
    </w:pPr>
    <w:rPr>
      <w:rFonts w:ascii="Arial" w:hAnsi="Arial" w:cs="Arial"/>
      <w:b/>
      <w:bCs/>
      <w:i/>
      <w:iCs/>
      <w:sz w:val="28"/>
      <w:szCs w:val="28"/>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independiente2">
    <w:name w:val="Body Text 2"/>
    <w:basedOn w:val="Normal"/>
    <w:rsid w:val="00B93C83"/>
    <w:pPr>
      <w:spacing w:after="120" w:line="480" w:lineRule="auto"/>
    </w:pPr>
  </w:style>
  <w:style w:type="paragraph" w:styleId="Sangra2detindependiente">
    <w:name w:val="Body Text Indent 2"/>
    <w:basedOn w:val="Normal"/>
    <w:rsid w:val="00B93C83"/>
    <w:pPr>
      <w:spacing w:after="120" w:line="480" w:lineRule="auto"/>
      <w:ind w:left="283"/>
    </w:pPr>
  </w:style>
  <w:style w:type="paragraph" w:styleId="Textoindependiente3">
    <w:name w:val="Body Text 3"/>
    <w:basedOn w:val="Normal"/>
    <w:rsid w:val="00B93C83"/>
    <w:pPr>
      <w:suppressAutoHyphens w:val="0"/>
      <w:spacing w:after="120"/>
    </w:pPr>
    <w:rPr>
      <w:rFonts w:ascii="Trebuchet MS" w:hAnsi="Trebuchet MS" w:cs="Arial"/>
      <w:color w:val="000000"/>
      <w:sz w:val="16"/>
      <w:szCs w:val="16"/>
      <w:lang w:eastAsia="es-ES"/>
    </w:rPr>
  </w:style>
  <w:style w:type="paragraph" w:customStyle="1" w:styleId="bodytext2">
    <w:name w:val="bodytext2"/>
    <w:basedOn w:val="Normal"/>
    <w:rsid w:val="00B93C83"/>
    <w:pPr>
      <w:suppressAutoHyphens w:val="0"/>
      <w:spacing w:line="360" w:lineRule="auto"/>
      <w:ind w:firstLine="720"/>
      <w:jc w:val="both"/>
    </w:pPr>
    <w:rPr>
      <w:spacing w:val="-3"/>
      <w:lang w:eastAsia="es-ES"/>
    </w:rPr>
  </w:style>
  <w:style w:type="paragraph" w:styleId="Textonotapie">
    <w:name w:val="footnote text"/>
    <w:basedOn w:val="Normal"/>
    <w:semiHidden/>
    <w:rsid w:val="00B93C83"/>
    <w:rPr>
      <w:sz w:val="20"/>
      <w:szCs w:val="20"/>
    </w:rPr>
  </w:style>
  <w:style w:type="character" w:styleId="Refdenotaalpie">
    <w:name w:val="footnote reference"/>
    <w:basedOn w:val="Fuentedeprrafopredeter"/>
    <w:semiHidden/>
    <w:rsid w:val="00B93C83"/>
    <w:rPr>
      <w:vertAlign w:val="superscript"/>
    </w:rPr>
  </w:style>
  <w:style w:type="paragraph" w:styleId="NormalWeb">
    <w:name w:val="Normal (Web)"/>
    <w:basedOn w:val="Normal"/>
    <w:rsid w:val="00D574FC"/>
    <w:pPr>
      <w:suppressAutoHyphens w:val="0"/>
      <w:spacing w:before="100" w:beforeAutospacing="1" w:after="119"/>
    </w:pPr>
    <w:rPr>
      <w:lang w:eastAsia="es-ES"/>
    </w:rPr>
  </w:style>
  <w:style w:type="character" w:styleId="Hipervnculo">
    <w:name w:val="Hyperlink"/>
    <w:basedOn w:val="Fuentedeprrafopredeter"/>
    <w:rsid w:val="004D202F"/>
    <w:rPr>
      <w:color w:val="0000FF"/>
      <w:u w:val="single"/>
    </w:rPr>
  </w:style>
  <w:style w:type="character" w:styleId="nfasis">
    <w:name w:val="Emphasis"/>
    <w:basedOn w:val="Fuentedeprrafopredeter"/>
    <w:qFormat/>
    <w:rsid w:val="004D202F"/>
    <w:rPr>
      <w:i/>
      <w:iCs/>
    </w:rPr>
  </w:style>
  <w:style w:type="table" w:styleId="Tablaconcuadrcula">
    <w:name w:val="Table Grid"/>
    <w:basedOn w:val="Tablanormal"/>
    <w:uiPriority w:val="39"/>
    <w:rsid w:val="000B36C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4FC4"/>
    <w:pPr>
      <w:suppressAutoHyphens w:val="0"/>
      <w:spacing w:after="200" w:line="276" w:lineRule="auto"/>
      <w:ind w:left="720"/>
      <w:contextualSpacing/>
    </w:pPr>
    <w:rPr>
      <w:rFonts w:ascii="Calibri" w:eastAsia="Calibri" w:hAnsi="Calibri"/>
      <w:sz w:val="22"/>
      <w:szCs w:val="22"/>
      <w:lang w:val="es-CR" w:eastAsia="en-US"/>
    </w:rPr>
  </w:style>
  <w:style w:type="character" w:styleId="Mencinsinresolver">
    <w:name w:val="Unresolved Mention"/>
    <w:basedOn w:val="Fuentedeprrafopredeter"/>
    <w:uiPriority w:val="99"/>
    <w:semiHidden/>
    <w:unhideWhenUsed/>
    <w:rsid w:val="00C36830"/>
    <w:rPr>
      <w:color w:val="605E5C"/>
      <w:shd w:val="clear" w:color="auto" w:fill="E1DFDD"/>
    </w:rPr>
  </w:style>
  <w:style w:type="paragraph" w:styleId="Ttulo">
    <w:name w:val="Title"/>
    <w:basedOn w:val="Normal"/>
    <w:next w:val="Normal"/>
    <w:link w:val="TtuloCar"/>
    <w:qFormat/>
    <w:rsid w:val="00B232D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232D8"/>
    <w:rPr>
      <w:rFonts w:asciiTheme="majorHAnsi" w:eastAsiaTheme="majorEastAsia" w:hAnsiTheme="majorHAnsi" w:cstheme="majorBidi"/>
      <w:spacing w:val="-10"/>
      <w:kern w:val="28"/>
      <w:sz w:val="56"/>
      <w:szCs w:val="56"/>
      <w:lang w:val="es-ES" w:eastAsia="ar-SA"/>
    </w:rPr>
  </w:style>
  <w:style w:type="paragraph" w:styleId="Textodeglobo">
    <w:name w:val="Balloon Text"/>
    <w:basedOn w:val="Normal"/>
    <w:link w:val="TextodegloboCar"/>
    <w:rsid w:val="00B30E69"/>
    <w:rPr>
      <w:rFonts w:ascii="Segoe UI" w:hAnsi="Segoe UI" w:cs="Segoe UI"/>
      <w:sz w:val="18"/>
      <w:szCs w:val="18"/>
    </w:rPr>
  </w:style>
  <w:style w:type="character" w:customStyle="1" w:styleId="TextodegloboCar">
    <w:name w:val="Texto de globo Car"/>
    <w:basedOn w:val="Fuentedeprrafopredeter"/>
    <w:link w:val="Textodeglobo"/>
    <w:rsid w:val="00B30E69"/>
    <w:rPr>
      <w:rFonts w:ascii="Segoe UI" w:hAnsi="Segoe UI" w:cs="Segoe UI"/>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40328">
      <w:bodyDiv w:val="1"/>
      <w:marLeft w:val="0"/>
      <w:marRight w:val="0"/>
      <w:marTop w:val="0"/>
      <w:marBottom w:val="0"/>
      <w:divBdr>
        <w:top w:val="none" w:sz="0" w:space="0" w:color="auto"/>
        <w:left w:val="none" w:sz="0" w:space="0" w:color="auto"/>
        <w:bottom w:val="none" w:sz="0" w:space="0" w:color="auto"/>
        <w:right w:val="none" w:sz="0" w:space="0" w:color="auto"/>
      </w:divBdr>
      <w:divsChild>
        <w:div w:id="362827789">
          <w:marLeft w:val="0"/>
          <w:marRight w:val="0"/>
          <w:marTop w:val="0"/>
          <w:marBottom w:val="0"/>
          <w:divBdr>
            <w:top w:val="none" w:sz="0" w:space="0" w:color="auto"/>
            <w:left w:val="none" w:sz="0" w:space="0" w:color="auto"/>
            <w:bottom w:val="none" w:sz="0" w:space="0" w:color="auto"/>
            <w:right w:val="none" w:sz="0" w:space="0" w:color="auto"/>
          </w:divBdr>
        </w:div>
      </w:divsChild>
    </w:div>
    <w:div w:id="515190357">
      <w:bodyDiv w:val="1"/>
      <w:marLeft w:val="0"/>
      <w:marRight w:val="0"/>
      <w:marTop w:val="0"/>
      <w:marBottom w:val="0"/>
      <w:divBdr>
        <w:top w:val="none" w:sz="0" w:space="0" w:color="auto"/>
        <w:left w:val="none" w:sz="0" w:space="0" w:color="auto"/>
        <w:bottom w:val="none" w:sz="0" w:space="0" w:color="auto"/>
        <w:right w:val="none" w:sz="0" w:space="0" w:color="auto"/>
      </w:divBdr>
    </w:div>
    <w:div w:id="822813297">
      <w:bodyDiv w:val="1"/>
      <w:marLeft w:val="0"/>
      <w:marRight w:val="0"/>
      <w:marTop w:val="0"/>
      <w:marBottom w:val="0"/>
      <w:divBdr>
        <w:top w:val="none" w:sz="0" w:space="0" w:color="auto"/>
        <w:left w:val="none" w:sz="0" w:space="0" w:color="auto"/>
        <w:bottom w:val="none" w:sz="0" w:space="0" w:color="auto"/>
        <w:right w:val="none" w:sz="0" w:space="0" w:color="auto"/>
      </w:divBdr>
      <w:divsChild>
        <w:div w:id="400367476">
          <w:marLeft w:val="0"/>
          <w:marRight w:val="0"/>
          <w:marTop w:val="0"/>
          <w:marBottom w:val="0"/>
          <w:divBdr>
            <w:top w:val="none" w:sz="0" w:space="0" w:color="auto"/>
            <w:left w:val="none" w:sz="0" w:space="0" w:color="auto"/>
            <w:bottom w:val="none" w:sz="0" w:space="0" w:color="auto"/>
            <w:right w:val="none" w:sz="0" w:space="0" w:color="auto"/>
          </w:divBdr>
        </w:div>
      </w:divsChild>
    </w:div>
    <w:div w:id="865369723">
      <w:bodyDiv w:val="1"/>
      <w:marLeft w:val="0"/>
      <w:marRight w:val="0"/>
      <w:marTop w:val="0"/>
      <w:marBottom w:val="0"/>
      <w:divBdr>
        <w:top w:val="none" w:sz="0" w:space="0" w:color="auto"/>
        <w:left w:val="none" w:sz="0" w:space="0" w:color="auto"/>
        <w:bottom w:val="none" w:sz="0" w:space="0" w:color="auto"/>
        <w:right w:val="none" w:sz="0" w:space="0" w:color="auto"/>
      </w:divBdr>
    </w:div>
    <w:div w:id="913121273">
      <w:bodyDiv w:val="1"/>
      <w:marLeft w:val="0"/>
      <w:marRight w:val="0"/>
      <w:marTop w:val="0"/>
      <w:marBottom w:val="0"/>
      <w:divBdr>
        <w:top w:val="none" w:sz="0" w:space="0" w:color="auto"/>
        <w:left w:val="none" w:sz="0" w:space="0" w:color="auto"/>
        <w:bottom w:val="none" w:sz="0" w:space="0" w:color="auto"/>
        <w:right w:val="none" w:sz="0" w:space="0" w:color="auto"/>
      </w:divBdr>
    </w:div>
    <w:div w:id="1156721177">
      <w:bodyDiv w:val="1"/>
      <w:marLeft w:val="0"/>
      <w:marRight w:val="0"/>
      <w:marTop w:val="0"/>
      <w:marBottom w:val="0"/>
      <w:divBdr>
        <w:top w:val="none" w:sz="0" w:space="0" w:color="auto"/>
        <w:left w:val="none" w:sz="0" w:space="0" w:color="auto"/>
        <w:bottom w:val="none" w:sz="0" w:space="0" w:color="auto"/>
        <w:right w:val="none" w:sz="0" w:space="0" w:color="auto"/>
      </w:divBdr>
    </w:div>
    <w:div w:id="1161579817">
      <w:bodyDiv w:val="1"/>
      <w:marLeft w:val="0"/>
      <w:marRight w:val="0"/>
      <w:marTop w:val="0"/>
      <w:marBottom w:val="0"/>
      <w:divBdr>
        <w:top w:val="none" w:sz="0" w:space="0" w:color="auto"/>
        <w:left w:val="none" w:sz="0" w:space="0" w:color="auto"/>
        <w:bottom w:val="none" w:sz="0" w:space="0" w:color="auto"/>
        <w:right w:val="none" w:sz="0" w:space="0" w:color="auto"/>
      </w:divBdr>
      <w:divsChild>
        <w:div w:id="794836454">
          <w:marLeft w:val="0"/>
          <w:marRight w:val="0"/>
          <w:marTop w:val="0"/>
          <w:marBottom w:val="0"/>
          <w:divBdr>
            <w:top w:val="none" w:sz="0" w:space="0" w:color="auto"/>
            <w:left w:val="none" w:sz="0" w:space="0" w:color="auto"/>
            <w:bottom w:val="none" w:sz="0" w:space="0" w:color="auto"/>
            <w:right w:val="none" w:sz="0" w:space="0" w:color="auto"/>
          </w:divBdr>
        </w:div>
      </w:divsChild>
    </w:div>
    <w:div w:id="1568107577">
      <w:bodyDiv w:val="1"/>
      <w:marLeft w:val="0"/>
      <w:marRight w:val="0"/>
      <w:marTop w:val="0"/>
      <w:marBottom w:val="0"/>
      <w:divBdr>
        <w:top w:val="none" w:sz="0" w:space="0" w:color="auto"/>
        <w:left w:val="none" w:sz="0" w:space="0" w:color="auto"/>
        <w:bottom w:val="none" w:sz="0" w:space="0" w:color="auto"/>
        <w:right w:val="none" w:sz="0" w:space="0" w:color="auto"/>
      </w:divBdr>
    </w:div>
    <w:div w:id="2065516637">
      <w:bodyDiv w:val="1"/>
      <w:marLeft w:val="0"/>
      <w:marRight w:val="0"/>
      <w:marTop w:val="0"/>
      <w:marBottom w:val="0"/>
      <w:divBdr>
        <w:top w:val="none" w:sz="0" w:space="0" w:color="auto"/>
        <w:left w:val="none" w:sz="0" w:space="0" w:color="auto"/>
        <w:bottom w:val="none" w:sz="0" w:space="0" w:color="auto"/>
        <w:right w:val="none" w:sz="0" w:space="0" w:color="auto"/>
      </w:divBdr>
    </w:div>
    <w:div w:id="21326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veeduri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aarce</dc:creator>
  <cp:keywords/>
  <dc:description/>
  <cp:lastModifiedBy>Yurli Arguello Araya</cp:lastModifiedBy>
  <cp:revision>5</cp:revision>
  <cp:lastPrinted>2018-09-25T17:52:00Z</cp:lastPrinted>
  <dcterms:created xsi:type="dcterms:W3CDTF">2019-04-09T15:16:00Z</dcterms:created>
  <dcterms:modified xsi:type="dcterms:W3CDTF">2019-04-10T14:40:00Z</dcterms:modified>
</cp:coreProperties>
</file>