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CDA1" w14:textId="77777777" w:rsidR="00373CE5" w:rsidRPr="002B6857" w:rsidRDefault="00373CE5" w:rsidP="00373CE5">
      <w:pPr>
        <w:autoSpaceDE w:val="0"/>
        <w:autoSpaceDN w:val="0"/>
        <w:adjustRightInd w:val="0"/>
        <w:ind w:left="567" w:right="697" w:firstLine="567"/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2B6857">
        <w:rPr>
          <w:noProof/>
          <w:sz w:val="22"/>
          <w:lang w:val="es-CR" w:eastAsia="es-CR"/>
        </w:rPr>
        <w:drawing>
          <wp:anchor distT="0" distB="0" distL="114300" distR="114300" simplePos="0" relativeHeight="251659264" behindDoc="0" locked="0" layoutInCell="1" allowOverlap="1" wp14:anchorId="09B080D5" wp14:editId="534B19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3880" cy="632460"/>
            <wp:effectExtent l="0" t="0" r="7620" b="0"/>
            <wp:wrapSquare wrapText="bothSides"/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85BF3" w14:textId="77777777" w:rsidR="00373CE5" w:rsidRDefault="00373CE5" w:rsidP="00373CE5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</w:p>
    <w:p w14:paraId="5C0C5789" w14:textId="77777777" w:rsidR="00373CE5" w:rsidRDefault="00373CE5" w:rsidP="00373CE5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</w:p>
    <w:p w14:paraId="60870FF0" w14:textId="77777777" w:rsidR="00373CE5" w:rsidRDefault="00373CE5" w:rsidP="00373CE5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</w:p>
    <w:p w14:paraId="387B5CFA" w14:textId="77777777" w:rsidR="00373CE5" w:rsidRPr="002B6857" w:rsidRDefault="00373CE5" w:rsidP="00373CE5">
      <w:pPr>
        <w:autoSpaceDE w:val="0"/>
        <w:autoSpaceDN w:val="0"/>
        <w:adjustRightInd w:val="0"/>
        <w:ind w:left="567" w:right="697" w:firstLine="567"/>
        <w:rPr>
          <w:b/>
          <w:sz w:val="22"/>
        </w:rPr>
      </w:pPr>
    </w:p>
    <w:p w14:paraId="6FAAC726" w14:textId="77777777" w:rsidR="00373CE5" w:rsidRPr="007F6681" w:rsidRDefault="00373CE5" w:rsidP="00373CE5">
      <w:pPr>
        <w:autoSpaceDE w:val="0"/>
        <w:autoSpaceDN w:val="0"/>
        <w:adjustRightInd w:val="0"/>
        <w:ind w:left="567" w:right="697" w:firstLine="567"/>
        <w:jc w:val="center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PODER JUDICIAL</w:t>
      </w:r>
    </w:p>
    <w:p w14:paraId="05A6DEF7" w14:textId="77777777" w:rsidR="00373CE5" w:rsidRPr="000427B2" w:rsidRDefault="00373CE5" w:rsidP="00373CE5">
      <w:pPr>
        <w:autoSpaceDE w:val="0"/>
        <w:autoSpaceDN w:val="0"/>
        <w:adjustRightInd w:val="0"/>
        <w:ind w:left="567" w:right="697" w:firstLine="567"/>
        <w:jc w:val="center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DEPARTAMENTO DE PROVEEDURÍA</w:t>
      </w:r>
    </w:p>
    <w:p w14:paraId="6DC45B68" w14:textId="77777777" w:rsidR="00373CE5" w:rsidRPr="007F6681" w:rsidRDefault="00373CE5" w:rsidP="00373CE5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  <w:r w:rsidRPr="007F6681">
        <w:rPr>
          <w:rFonts w:asciiTheme="minorHAnsi" w:hAnsiTheme="minorHAnsi"/>
          <w:sz w:val="18"/>
          <w:u w:val="single"/>
        </w:rPr>
        <w:t xml:space="preserve">                                 </w:t>
      </w:r>
      <w:r w:rsidRPr="007F6681">
        <w:rPr>
          <w:rFonts w:asciiTheme="minorHAnsi" w:hAnsiTheme="minorHAnsi"/>
          <w:sz w:val="18"/>
          <w:u w:val="single"/>
        </w:rPr>
        <w:tab/>
        <w:t xml:space="preserve">  </w:t>
      </w:r>
    </w:p>
    <w:p w14:paraId="20F38F08" w14:textId="77777777" w:rsidR="00373CE5" w:rsidRPr="007F6681" w:rsidRDefault="00373CE5" w:rsidP="00373CE5">
      <w:pPr>
        <w:rPr>
          <w:rFonts w:asciiTheme="minorHAnsi" w:hAnsiTheme="minorHAnsi"/>
        </w:rPr>
      </w:pPr>
    </w:p>
    <w:p w14:paraId="3AC2EF43" w14:textId="2AEBB7E9" w:rsidR="00373CE5" w:rsidRPr="007F6681" w:rsidRDefault="00373CE5" w:rsidP="00373CE5">
      <w:pPr>
        <w:ind w:left="1418" w:hanging="1418"/>
        <w:jc w:val="center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Circular </w:t>
      </w:r>
      <w:r w:rsidRPr="00A74D40">
        <w:rPr>
          <w:rFonts w:asciiTheme="minorHAnsi" w:hAnsiTheme="minorHAnsi" w:cs="Arial"/>
          <w:b/>
        </w:rPr>
        <w:t xml:space="preserve">No. </w:t>
      </w:r>
      <w:r w:rsidR="009423DC">
        <w:rPr>
          <w:rFonts w:asciiTheme="minorHAnsi" w:hAnsiTheme="minorHAnsi" w:cs="Arial"/>
          <w:b/>
        </w:rPr>
        <w:t>29</w:t>
      </w:r>
      <w:r w:rsidRPr="00A74D40">
        <w:rPr>
          <w:rFonts w:asciiTheme="minorHAnsi" w:hAnsiTheme="minorHAnsi" w:cs="Arial"/>
          <w:b/>
        </w:rPr>
        <w:t>-2018</w:t>
      </w:r>
    </w:p>
    <w:p w14:paraId="6361B082" w14:textId="77777777" w:rsidR="00373CE5" w:rsidRPr="007F6681" w:rsidRDefault="00373CE5" w:rsidP="00373CE5">
      <w:pPr>
        <w:ind w:left="1418" w:hanging="425"/>
        <w:jc w:val="center"/>
        <w:rPr>
          <w:rFonts w:asciiTheme="minorHAnsi" w:hAnsiTheme="minorHAnsi"/>
          <w:sz w:val="28"/>
        </w:rPr>
      </w:pPr>
    </w:p>
    <w:p w14:paraId="35BD5CE5" w14:textId="77777777" w:rsidR="00373CE5" w:rsidRPr="007F6681" w:rsidRDefault="00373CE5" w:rsidP="00373CE5">
      <w:pPr>
        <w:ind w:left="1418" w:right="697" w:hanging="425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De:        </w:t>
      </w:r>
      <w:r w:rsidRPr="007F668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Lic.</w:t>
      </w:r>
      <w:r w:rsidRPr="007F6681">
        <w:rPr>
          <w:rFonts w:asciiTheme="minorHAnsi" w:hAnsiTheme="minorHAnsi" w:cs="Arial"/>
          <w:b/>
        </w:rPr>
        <w:t xml:space="preserve">  </w:t>
      </w:r>
      <w:r>
        <w:rPr>
          <w:rFonts w:asciiTheme="minorHAnsi" w:hAnsiTheme="minorHAnsi" w:cs="Arial"/>
          <w:b/>
        </w:rPr>
        <w:t>Wilbert Kidd Alvarado</w:t>
      </w:r>
    </w:p>
    <w:p w14:paraId="3CA185B9" w14:textId="77777777" w:rsidR="00373CE5" w:rsidRPr="007F6681" w:rsidRDefault="00373CE5" w:rsidP="00373CE5">
      <w:pPr>
        <w:ind w:left="1418" w:right="697" w:hanging="425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              </w:t>
      </w:r>
      <w:r w:rsidRPr="007F6681">
        <w:rPr>
          <w:rFonts w:asciiTheme="minorHAnsi" w:hAnsiTheme="minorHAnsi" w:cs="Arial"/>
          <w:b/>
        </w:rPr>
        <w:tab/>
        <w:t>Jef</w:t>
      </w:r>
      <w:r>
        <w:rPr>
          <w:rFonts w:asciiTheme="minorHAnsi" w:hAnsiTheme="minorHAnsi" w:cs="Arial"/>
          <w:b/>
        </w:rPr>
        <w:t>e</w:t>
      </w:r>
      <w:r w:rsidRPr="007F6681">
        <w:rPr>
          <w:rFonts w:asciiTheme="minorHAnsi" w:hAnsiTheme="minorHAnsi" w:cs="Arial"/>
          <w:b/>
        </w:rPr>
        <w:t xml:space="preserve"> a.í. Departamento de Proveeduría</w:t>
      </w:r>
    </w:p>
    <w:p w14:paraId="1B93DD74" w14:textId="77777777" w:rsidR="00373CE5" w:rsidRPr="007F6681" w:rsidRDefault="00373CE5" w:rsidP="00373CE5">
      <w:pPr>
        <w:ind w:left="1418" w:right="697" w:hanging="425"/>
        <w:rPr>
          <w:rFonts w:asciiTheme="minorHAnsi" w:hAnsiTheme="minorHAnsi" w:cs="Arial"/>
          <w:b/>
        </w:rPr>
      </w:pPr>
    </w:p>
    <w:p w14:paraId="12A37D6A" w14:textId="77777777" w:rsidR="00373CE5" w:rsidRDefault="00373CE5" w:rsidP="006F45B2">
      <w:pPr>
        <w:ind w:left="2121" w:right="697" w:hanging="1136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Para:    </w:t>
      </w:r>
      <w:r w:rsidRPr="007F6681">
        <w:rPr>
          <w:rFonts w:asciiTheme="minorHAnsi" w:hAnsiTheme="minorHAnsi" w:cs="Arial"/>
          <w:b/>
        </w:rPr>
        <w:tab/>
      </w:r>
      <w:r w:rsidR="0002062B">
        <w:rPr>
          <w:rFonts w:asciiTheme="minorHAnsi" w:hAnsiTheme="minorHAnsi" w:cs="Arial"/>
          <w:b/>
        </w:rPr>
        <w:t xml:space="preserve">Todas las oficinas judiciales del país. </w:t>
      </w:r>
    </w:p>
    <w:p w14:paraId="250F0FEB" w14:textId="77777777" w:rsidR="006F45B2" w:rsidRPr="007F6681" w:rsidRDefault="006F45B2" w:rsidP="006F45B2">
      <w:pPr>
        <w:ind w:left="2121" w:right="697" w:hanging="1136"/>
        <w:rPr>
          <w:rFonts w:asciiTheme="minorHAnsi" w:hAnsiTheme="minorHAnsi" w:cs="Arial"/>
          <w:b/>
        </w:rPr>
      </w:pPr>
    </w:p>
    <w:p w14:paraId="7C3A4D11" w14:textId="79D7147F" w:rsidR="001020D9" w:rsidRDefault="00373CE5" w:rsidP="007B565F">
      <w:pPr>
        <w:ind w:left="2121" w:right="697" w:hanging="1128"/>
        <w:jc w:val="both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Asunto: </w:t>
      </w:r>
      <w:r w:rsidRPr="007F6681">
        <w:rPr>
          <w:rFonts w:asciiTheme="minorHAnsi" w:hAnsiTheme="minorHAnsi" w:cs="Arial"/>
          <w:b/>
        </w:rPr>
        <w:tab/>
      </w:r>
      <w:r w:rsidR="007B565F">
        <w:rPr>
          <w:rFonts w:asciiTheme="minorHAnsi" w:hAnsiTheme="minorHAnsi" w:cs="Arial"/>
          <w:b/>
        </w:rPr>
        <w:t>A</w:t>
      </w:r>
      <w:r w:rsidR="001020D9">
        <w:rPr>
          <w:rFonts w:asciiTheme="minorHAnsi" w:hAnsiTheme="minorHAnsi" w:cs="Arial"/>
          <w:b/>
        </w:rPr>
        <w:t>justes de activos en el Sistema Institucional de Control de Activos del Poder Judicial (SICA-PJ), exclusiones e inclusiones de activos en el inventario de una oficina producto de equipo nuevo, donaciones, devoluciones, préstamos, redistribuciones, entre otros.</w:t>
      </w:r>
    </w:p>
    <w:p w14:paraId="05084807" w14:textId="77777777" w:rsidR="00373CE5" w:rsidRPr="007F6681" w:rsidRDefault="00373CE5" w:rsidP="001020D9">
      <w:pPr>
        <w:ind w:right="697"/>
        <w:rPr>
          <w:rFonts w:asciiTheme="minorHAnsi" w:hAnsiTheme="minorHAnsi"/>
          <w:b/>
        </w:rPr>
      </w:pPr>
    </w:p>
    <w:p w14:paraId="29BFE459" w14:textId="429A4C60" w:rsidR="00373CE5" w:rsidRPr="007F6681" w:rsidRDefault="00373CE5" w:rsidP="00373CE5">
      <w:pPr>
        <w:ind w:left="1418" w:right="697" w:hanging="425"/>
        <w:rPr>
          <w:rFonts w:asciiTheme="minorHAnsi" w:hAnsiTheme="minorHAnsi"/>
          <w:b/>
        </w:rPr>
      </w:pPr>
      <w:r w:rsidRPr="007F6681">
        <w:rPr>
          <w:rFonts w:asciiTheme="minorHAnsi" w:hAnsiTheme="minorHAnsi"/>
          <w:b/>
        </w:rPr>
        <w:t xml:space="preserve">Fecha:   </w:t>
      </w:r>
      <w:r w:rsidRPr="007F6681">
        <w:rPr>
          <w:rFonts w:asciiTheme="minorHAnsi" w:hAnsiTheme="minorHAnsi"/>
          <w:b/>
        </w:rPr>
        <w:tab/>
      </w:r>
      <w:r w:rsidR="00903F4B">
        <w:rPr>
          <w:rFonts w:asciiTheme="minorHAnsi" w:hAnsiTheme="minorHAnsi"/>
        </w:rPr>
        <w:t>02</w:t>
      </w:r>
      <w:r w:rsidR="009F18E0" w:rsidRPr="007F6681">
        <w:rPr>
          <w:rFonts w:asciiTheme="minorHAnsi" w:hAnsiTheme="minorHAnsi"/>
        </w:rPr>
        <w:t xml:space="preserve"> </w:t>
      </w:r>
      <w:r w:rsidRPr="007F6681">
        <w:rPr>
          <w:rFonts w:asciiTheme="minorHAnsi" w:hAnsiTheme="minorHAnsi"/>
        </w:rPr>
        <w:t xml:space="preserve">de </w:t>
      </w:r>
      <w:r w:rsidR="00903F4B">
        <w:rPr>
          <w:rFonts w:asciiTheme="minorHAnsi" w:hAnsiTheme="minorHAnsi"/>
        </w:rPr>
        <w:t>mayo</w:t>
      </w:r>
      <w:r>
        <w:rPr>
          <w:rFonts w:asciiTheme="minorHAnsi" w:hAnsiTheme="minorHAnsi"/>
        </w:rPr>
        <w:t xml:space="preserve"> de 2018</w:t>
      </w:r>
      <w:r w:rsidRPr="007F6681">
        <w:rPr>
          <w:rFonts w:asciiTheme="minorHAnsi" w:hAnsiTheme="minorHAnsi"/>
        </w:rPr>
        <w:t>.</w:t>
      </w:r>
      <w:r w:rsidRPr="007F6681">
        <w:rPr>
          <w:rFonts w:asciiTheme="minorHAnsi" w:hAnsiTheme="minorHAnsi"/>
          <w:b/>
        </w:rPr>
        <w:t xml:space="preserve">                                         </w:t>
      </w:r>
    </w:p>
    <w:p w14:paraId="41A7FFD3" w14:textId="77777777" w:rsidR="00373CE5" w:rsidRPr="00BA686C" w:rsidRDefault="00373CE5" w:rsidP="00373CE5">
      <w:pPr>
        <w:ind w:left="426"/>
        <w:jc w:val="center"/>
        <w:rPr>
          <w:sz w:val="18"/>
          <w:szCs w:val="20"/>
        </w:rPr>
      </w:pPr>
      <w:r w:rsidRPr="002B6857">
        <w:rPr>
          <w:sz w:val="18"/>
          <w:szCs w:val="20"/>
        </w:rPr>
        <w:t>_________________________________________________________</w:t>
      </w:r>
      <w:r>
        <w:rPr>
          <w:sz w:val="18"/>
          <w:szCs w:val="20"/>
        </w:rPr>
        <w:softHyphen/>
      </w:r>
      <w:r>
        <w:rPr>
          <w:sz w:val="18"/>
          <w:szCs w:val="20"/>
        </w:rPr>
        <w:softHyphen/>
      </w:r>
      <w:r>
        <w:rPr>
          <w:sz w:val="18"/>
          <w:szCs w:val="20"/>
        </w:rPr>
        <w:softHyphen/>
      </w:r>
      <w:r>
        <w:rPr>
          <w:sz w:val="18"/>
          <w:szCs w:val="20"/>
        </w:rPr>
        <w:softHyphen/>
      </w:r>
      <w:r>
        <w:rPr>
          <w:sz w:val="18"/>
          <w:szCs w:val="20"/>
        </w:rPr>
        <w:softHyphen/>
      </w:r>
      <w:r w:rsidRPr="002B6857">
        <w:rPr>
          <w:sz w:val="18"/>
          <w:szCs w:val="20"/>
        </w:rPr>
        <w:t>___________________________________</w:t>
      </w:r>
    </w:p>
    <w:p w14:paraId="650E2528" w14:textId="77777777" w:rsidR="00373CE5" w:rsidRDefault="00373CE5" w:rsidP="006D4A52">
      <w:pPr>
        <w:ind w:right="697"/>
        <w:jc w:val="both"/>
        <w:rPr>
          <w:rFonts w:asciiTheme="minorHAnsi" w:hAnsiTheme="minorHAnsi"/>
        </w:rPr>
      </w:pPr>
    </w:p>
    <w:p w14:paraId="6AB451C3" w14:textId="38F4FBE0" w:rsidR="0002062B" w:rsidRDefault="00373CE5" w:rsidP="005E54D1">
      <w:pPr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la finalidad de mejorar el control de act</w:t>
      </w:r>
      <w:r w:rsidR="0002062B">
        <w:rPr>
          <w:rFonts w:asciiTheme="minorHAnsi" w:hAnsiTheme="minorHAnsi"/>
        </w:rPr>
        <w:t xml:space="preserve">ivos fijos del Poder Judicial, se recuerda a todas las jefaturas de las diferentes oficinas judiciales y </w:t>
      </w:r>
      <w:r w:rsidR="00DD5636">
        <w:rPr>
          <w:rFonts w:asciiTheme="minorHAnsi" w:hAnsiTheme="minorHAnsi"/>
        </w:rPr>
        <w:t>personal</w:t>
      </w:r>
      <w:r w:rsidR="0002062B">
        <w:rPr>
          <w:rFonts w:asciiTheme="minorHAnsi" w:hAnsiTheme="minorHAnsi"/>
        </w:rPr>
        <w:t xml:space="preserve"> en general, la responsabilidad que tienen</w:t>
      </w:r>
      <w:r w:rsidR="003B35D4">
        <w:rPr>
          <w:rFonts w:asciiTheme="minorHAnsi" w:hAnsiTheme="minorHAnsi"/>
        </w:rPr>
        <w:t xml:space="preserve"> </w:t>
      </w:r>
      <w:r w:rsidR="004C1334">
        <w:rPr>
          <w:rFonts w:asciiTheme="minorHAnsi" w:hAnsiTheme="minorHAnsi"/>
        </w:rPr>
        <w:t>en relación con el</w:t>
      </w:r>
      <w:r w:rsidR="003B35D4">
        <w:rPr>
          <w:rFonts w:asciiTheme="minorHAnsi" w:hAnsiTheme="minorHAnsi"/>
        </w:rPr>
        <w:t xml:space="preserve"> cuido y custodia de los activos que les son asignados para el desempeño de sus funciones,</w:t>
      </w:r>
      <w:r w:rsidR="0002062B">
        <w:rPr>
          <w:rFonts w:asciiTheme="minorHAnsi" w:hAnsiTheme="minorHAnsi"/>
        </w:rPr>
        <w:t xml:space="preserve"> </w:t>
      </w:r>
      <w:r w:rsidR="00C51B0F">
        <w:rPr>
          <w:rFonts w:asciiTheme="minorHAnsi" w:hAnsiTheme="minorHAnsi"/>
        </w:rPr>
        <w:t>de acuerdo con</w:t>
      </w:r>
      <w:r w:rsidR="0002062B">
        <w:rPr>
          <w:rFonts w:asciiTheme="minorHAnsi" w:hAnsiTheme="minorHAnsi"/>
        </w:rPr>
        <w:t xml:space="preserve"> lo </w:t>
      </w:r>
      <w:r w:rsidR="00A83640">
        <w:rPr>
          <w:rFonts w:asciiTheme="minorHAnsi" w:hAnsiTheme="minorHAnsi"/>
        </w:rPr>
        <w:t xml:space="preserve">que se indica </w:t>
      </w:r>
      <w:r w:rsidR="0002062B">
        <w:rPr>
          <w:rFonts w:asciiTheme="minorHAnsi" w:hAnsiTheme="minorHAnsi"/>
        </w:rPr>
        <w:t xml:space="preserve">en el </w:t>
      </w:r>
      <w:r w:rsidR="0002062B" w:rsidRPr="0002062B">
        <w:rPr>
          <w:rFonts w:asciiTheme="minorHAnsi" w:hAnsiTheme="minorHAnsi"/>
        </w:rPr>
        <w:t>Reglamento para el Registro, Control y uso d</w:t>
      </w:r>
      <w:r w:rsidR="0002062B">
        <w:rPr>
          <w:rFonts w:asciiTheme="minorHAnsi" w:hAnsiTheme="minorHAnsi"/>
        </w:rPr>
        <w:t>e activos institucionales del Poder Judicial</w:t>
      </w:r>
      <w:r w:rsidR="003B35D4">
        <w:rPr>
          <w:rFonts w:asciiTheme="minorHAnsi" w:hAnsiTheme="minorHAnsi"/>
        </w:rPr>
        <w:t>.</w:t>
      </w:r>
    </w:p>
    <w:p w14:paraId="22B184B4" w14:textId="77777777" w:rsidR="005E54D1" w:rsidRDefault="005E54D1" w:rsidP="005E54D1">
      <w:pPr>
        <w:ind w:left="993" w:right="697"/>
        <w:jc w:val="both"/>
        <w:rPr>
          <w:rFonts w:asciiTheme="minorHAnsi" w:hAnsiTheme="minorHAnsi"/>
        </w:rPr>
      </w:pPr>
    </w:p>
    <w:p w14:paraId="0F3C9F39" w14:textId="42618544" w:rsidR="005E54D1" w:rsidRDefault="005E54D1" w:rsidP="005E54D1">
      <w:pPr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 continuación, se detalla un extra</w:t>
      </w:r>
      <w:r w:rsidR="00FF5501">
        <w:rPr>
          <w:rFonts w:asciiTheme="minorHAnsi" w:hAnsiTheme="minorHAnsi"/>
        </w:rPr>
        <w:t xml:space="preserve">cto </w:t>
      </w:r>
      <w:r>
        <w:rPr>
          <w:rFonts w:asciiTheme="minorHAnsi" w:hAnsiTheme="minorHAnsi"/>
        </w:rPr>
        <w:t>de lo</w:t>
      </w:r>
      <w:r w:rsidR="00A83640">
        <w:rPr>
          <w:rFonts w:asciiTheme="minorHAnsi" w:hAnsiTheme="minorHAnsi"/>
        </w:rPr>
        <w:t>s artículos</w:t>
      </w:r>
      <w:r>
        <w:rPr>
          <w:rFonts w:asciiTheme="minorHAnsi" w:hAnsiTheme="minorHAnsi"/>
        </w:rPr>
        <w:t xml:space="preserve"> </w:t>
      </w:r>
      <w:r w:rsidR="00A83640">
        <w:rPr>
          <w:rFonts w:asciiTheme="minorHAnsi" w:hAnsiTheme="minorHAnsi"/>
        </w:rPr>
        <w:t>del</w:t>
      </w:r>
      <w:r>
        <w:rPr>
          <w:rFonts w:asciiTheme="minorHAnsi" w:hAnsiTheme="minorHAnsi"/>
        </w:rPr>
        <w:t xml:space="preserve"> citado Reglamento:</w:t>
      </w:r>
    </w:p>
    <w:p w14:paraId="23B4F92B" w14:textId="77777777" w:rsidR="005E54D1" w:rsidRDefault="005E54D1" w:rsidP="005E54D1">
      <w:pPr>
        <w:ind w:left="993" w:right="697"/>
        <w:jc w:val="both"/>
        <w:rPr>
          <w:rFonts w:asciiTheme="minorHAnsi" w:hAnsiTheme="minorHAnsi"/>
        </w:rPr>
      </w:pPr>
    </w:p>
    <w:p w14:paraId="70C7A795" w14:textId="77777777" w:rsidR="005E54D1" w:rsidRPr="005E54D1" w:rsidRDefault="005E54D1" w:rsidP="005E54D1">
      <w:pPr>
        <w:pStyle w:val="section1"/>
        <w:autoSpaceDE w:val="0"/>
        <w:autoSpaceDN w:val="0"/>
        <w:spacing w:before="120" w:beforeAutospacing="0" w:after="120" w:afterAutospacing="0"/>
        <w:ind w:left="1418" w:right="1122"/>
        <w:jc w:val="both"/>
        <w:rPr>
          <w:i/>
        </w:rPr>
      </w:pPr>
      <w:r w:rsidRPr="00804979">
        <w:rPr>
          <w:b/>
          <w:bCs/>
          <w:i/>
        </w:rPr>
        <w:t>Artículo 44. Responsabilidades.</w:t>
      </w:r>
      <w:r w:rsidRPr="00804979">
        <w:rPr>
          <w:i/>
        </w:rPr>
        <w:t xml:space="preserve"> Toda jefatura es responsable por el buen uso y custodia de los activos recibidos para el desempeño de las funciones de la dependencia judicial a su cargo. Cada jefatura deberá llevar un control individual de los bienes bajo su responsabilidad, en los registros diseñados al efecto. Dicho registro tendrá que mantenerse actualizado y servirá de base para levantar los inventarios que solicite periódicamente el Departamento de Proveeduría.</w:t>
      </w:r>
    </w:p>
    <w:p w14:paraId="3674EB7A" w14:textId="77777777" w:rsidR="005E54D1" w:rsidRPr="00804979" w:rsidRDefault="005E54D1" w:rsidP="005E54D1">
      <w:pPr>
        <w:pStyle w:val="section1"/>
        <w:autoSpaceDE w:val="0"/>
        <w:autoSpaceDN w:val="0"/>
        <w:spacing w:before="120" w:beforeAutospacing="0" w:after="120" w:afterAutospacing="0"/>
        <w:ind w:left="1418" w:right="1122"/>
        <w:jc w:val="both"/>
        <w:rPr>
          <w:i/>
          <w:sz w:val="22"/>
          <w:szCs w:val="22"/>
        </w:rPr>
      </w:pPr>
      <w:r w:rsidRPr="00804979">
        <w:rPr>
          <w:i/>
        </w:rPr>
        <w:t>Además, las jefaturas y las personas encargadas del manejo de los activos de cada dependencia judicial deberán informar al Proceso de Administración de Bienes del Departamento de Proveeduría o Administraciones Regionales, sobre cualquier movimiento que se presente. Asimismo, son responsables por la revisión y remisión oportuna del informe a esta Unidad sobre las inconsistencias encontradas y dejar evidencia de lo actuado.</w:t>
      </w:r>
    </w:p>
    <w:p w14:paraId="3E7A73F9" w14:textId="77777777" w:rsidR="005E54D1" w:rsidRPr="00804979" w:rsidRDefault="005E54D1" w:rsidP="005E54D1">
      <w:pPr>
        <w:pStyle w:val="section1"/>
        <w:autoSpaceDE w:val="0"/>
        <w:autoSpaceDN w:val="0"/>
        <w:spacing w:before="120" w:beforeAutospacing="0" w:after="120" w:afterAutospacing="0"/>
        <w:ind w:left="1418" w:right="1122"/>
        <w:jc w:val="both"/>
        <w:rPr>
          <w:i/>
          <w:sz w:val="22"/>
          <w:szCs w:val="22"/>
        </w:rPr>
      </w:pPr>
      <w:r w:rsidRPr="00804979">
        <w:rPr>
          <w:b/>
          <w:bCs/>
          <w:i/>
        </w:rPr>
        <w:t>Artículo 52. Personas responsables por los bienes a cargo</w:t>
      </w:r>
      <w:r w:rsidRPr="00804979">
        <w:rPr>
          <w:i/>
        </w:rPr>
        <w:t xml:space="preserve">. Todo el personal judicial será responsable por los bienes que le han sido asignados, en cuanto a su uso adecuado, mantenimiento y custodia. Además, tendrá como obligación adoptar las medidas necesarias a fin de resguardar y mantener los bienes en las mejores condiciones de uso. </w:t>
      </w:r>
    </w:p>
    <w:p w14:paraId="7ABFEA53" w14:textId="77777777" w:rsidR="005E54D1" w:rsidRPr="00804979" w:rsidRDefault="005E54D1" w:rsidP="005E54D1">
      <w:pPr>
        <w:pStyle w:val="section1"/>
        <w:autoSpaceDE w:val="0"/>
        <w:autoSpaceDN w:val="0"/>
        <w:spacing w:before="120" w:beforeAutospacing="0" w:after="120" w:afterAutospacing="0"/>
        <w:ind w:left="1418" w:right="1122"/>
        <w:jc w:val="both"/>
        <w:rPr>
          <w:i/>
          <w:sz w:val="22"/>
          <w:szCs w:val="22"/>
        </w:rPr>
      </w:pPr>
      <w:r w:rsidRPr="00804979">
        <w:rPr>
          <w:b/>
          <w:bCs/>
          <w:i/>
        </w:rPr>
        <w:t xml:space="preserve">Artículo 55.  Reportes. </w:t>
      </w:r>
      <w:r w:rsidRPr="00804979">
        <w:rPr>
          <w:i/>
        </w:rPr>
        <w:t xml:space="preserve">La persona que labora para el Poder Judicial, está en la obligación de reportar a la jefatura inmediata cuando advierta la </w:t>
      </w:r>
      <w:r w:rsidRPr="00804979">
        <w:rPr>
          <w:i/>
        </w:rPr>
        <w:lastRenderedPageBreak/>
        <w:t xml:space="preserve">desaparición de algún bien o cuando se trasladen, se deterioren y se desprenda la identificación numérica. </w:t>
      </w:r>
    </w:p>
    <w:p w14:paraId="2F8D6E4F" w14:textId="77777777" w:rsidR="005E54D1" w:rsidRPr="005E54D1" w:rsidRDefault="005E54D1" w:rsidP="00373CE5">
      <w:pPr>
        <w:ind w:left="993" w:right="697"/>
        <w:jc w:val="both"/>
        <w:rPr>
          <w:rFonts w:asciiTheme="minorHAnsi" w:hAnsiTheme="minorHAnsi"/>
          <w:lang w:val="es-CR"/>
        </w:rPr>
      </w:pPr>
    </w:p>
    <w:p w14:paraId="06760E53" w14:textId="4EFAC8EC" w:rsidR="00354360" w:rsidRDefault="005E54D1" w:rsidP="00373CE5">
      <w:pPr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lo anterior se informa que es responsabilidad de cada oficina judicial mantener un inventario actualizado y depurado</w:t>
      </w:r>
      <w:r w:rsidR="009F18E0">
        <w:rPr>
          <w:rFonts w:asciiTheme="minorHAnsi" w:hAnsiTheme="minorHAnsi"/>
        </w:rPr>
        <w:t xml:space="preserve"> de sus activos</w:t>
      </w:r>
      <w:r>
        <w:rPr>
          <w:rFonts w:asciiTheme="minorHAnsi" w:hAnsiTheme="minorHAnsi"/>
        </w:rPr>
        <w:t xml:space="preserve">, para lo cual la Proveeduría tiene en su página un </w:t>
      </w:r>
      <w:r w:rsidR="00354360">
        <w:rPr>
          <w:rFonts w:asciiTheme="minorHAnsi" w:hAnsiTheme="minorHAnsi"/>
        </w:rPr>
        <w:t>formulario para</w:t>
      </w:r>
      <w:r>
        <w:rPr>
          <w:rFonts w:asciiTheme="minorHAnsi" w:hAnsiTheme="minorHAnsi"/>
        </w:rPr>
        <w:t xml:space="preserve"> </w:t>
      </w:r>
      <w:r w:rsidR="00DD5636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 xml:space="preserve">devolución </w:t>
      </w:r>
      <w:r w:rsidR="009F18E0">
        <w:rPr>
          <w:rFonts w:asciiTheme="minorHAnsi" w:hAnsiTheme="minorHAnsi"/>
        </w:rPr>
        <w:t xml:space="preserve">o entrega de </w:t>
      </w:r>
      <w:r w:rsidR="00212AD1">
        <w:rPr>
          <w:rFonts w:asciiTheme="minorHAnsi" w:hAnsiTheme="minorHAnsi"/>
        </w:rPr>
        <w:t>estos</w:t>
      </w:r>
      <w:r w:rsidR="009F18E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un funcionario</w:t>
      </w:r>
      <w:r w:rsidR="00354360">
        <w:rPr>
          <w:rFonts w:asciiTheme="minorHAnsi" w:hAnsiTheme="minorHAnsi"/>
        </w:rPr>
        <w:t xml:space="preserve"> </w:t>
      </w:r>
      <w:r w:rsidR="00DD5636">
        <w:rPr>
          <w:rFonts w:asciiTheme="minorHAnsi" w:hAnsiTheme="minorHAnsi"/>
        </w:rPr>
        <w:t xml:space="preserve">o funcionaria </w:t>
      </w:r>
      <w:r w:rsidR="00354360">
        <w:rPr>
          <w:rFonts w:asciiTheme="minorHAnsi" w:hAnsiTheme="minorHAnsi"/>
        </w:rPr>
        <w:t>judicial y/u oficina judicial</w:t>
      </w:r>
      <w:r w:rsidR="009F18E0">
        <w:rPr>
          <w:rFonts w:asciiTheme="minorHAnsi" w:hAnsiTheme="minorHAnsi"/>
        </w:rPr>
        <w:t>. Dicho formulario detalla los siguientes datos:</w:t>
      </w:r>
    </w:p>
    <w:p w14:paraId="3131DDD3" w14:textId="77777777" w:rsidR="00375A3C" w:rsidRDefault="00375A3C" w:rsidP="00373CE5">
      <w:pPr>
        <w:ind w:left="993" w:right="697"/>
        <w:jc w:val="both"/>
        <w:rPr>
          <w:rFonts w:asciiTheme="minorHAnsi" w:hAnsiTheme="minorHAnsi"/>
        </w:rPr>
      </w:pPr>
    </w:p>
    <w:p w14:paraId="7A102A57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Oficina que entrega.</w:t>
      </w:r>
    </w:p>
    <w:p w14:paraId="5935418B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Oficina o funcionario que recibe. </w:t>
      </w:r>
    </w:p>
    <w:p w14:paraId="6B2047BC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Número de oficio o consecutivo de acta de la oficina.</w:t>
      </w:r>
    </w:p>
    <w:p w14:paraId="506CFA1F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Fecha de confección del documento. </w:t>
      </w:r>
    </w:p>
    <w:p w14:paraId="7FC456CB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Persona responsable de la entrega de los bienes. </w:t>
      </w:r>
    </w:p>
    <w:p w14:paraId="2A429A4A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Motivo por el cual se entregan los bienes. </w:t>
      </w:r>
    </w:p>
    <w:p w14:paraId="5825DC21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Número de activo. </w:t>
      </w:r>
    </w:p>
    <w:p w14:paraId="3F7AB043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Descripción del activo. </w:t>
      </w:r>
    </w:p>
    <w:p w14:paraId="60C8BEBF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Estado de utilidad del activo. </w:t>
      </w:r>
    </w:p>
    <w:p w14:paraId="104A9F60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 del funcionario que recibe. </w:t>
      </w:r>
    </w:p>
    <w:p w14:paraId="19D0CE44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Número de cédula del funcionario judicial que recibe.  </w:t>
      </w:r>
    </w:p>
    <w:p w14:paraId="7A85B681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Fecha en que se reciben los bienes. </w:t>
      </w:r>
    </w:p>
    <w:p w14:paraId="76B76EB7" w14:textId="77777777" w:rsid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Firma del funcionario que recibe los bienes. </w:t>
      </w:r>
    </w:p>
    <w:p w14:paraId="761F6C6C" w14:textId="77777777" w:rsidR="00354360" w:rsidRPr="00354360" w:rsidRDefault="00354360" w:rsidP="00354360">
      <w:pPr>
        <w:pStyle w:val="Prrafodelista"/>
        <w:numPr>
          <w:ilvl w:val="0"/>
          <w:numId w:val="3"/>
        </w:numPr>
        <w:ind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Observaciones. </w:t>
      </w:r>
    </w:p>
    <w:p w14:paraId="34829F55" w14:textId="0B6D30BA" w:rsidR="00E51F46" w:rsidRDefault="00E51F46" w:rsidP="00E51F46">
      <w:pPr>
        <w:ind w:right="697"/>
        <w:jc w:val="both"/>
        <w:rPr>
          <w:rFonts w:asciiTheme="minorHAnsi" w:hAnsiTheme="minorHAnsi"/>
        </w:rPr>
      </w:pPr>
    </w:p>
    <w:p w14:paraId="388A5107" w14:textId="4F6BBBD3" w:rsidR="00F60C94" w:rsidRDefault="00E51F46" w:rsidP="00F60C94">
      <w:pPr>
        <w:ind w:left="993" w:right="697"/>
        <w:jc w:val="both"/>
        <w:rPr>
          <w:rStyle w:val="Hipervnculo"/>
          <w:rFonts w:asciiTheme="minorHAnsi" w:hAnsiTheme="minorHAnsi"/>
        </w:rPr>
      </w:pPr>
      <w:r>
        <w:rPr>
          <w:rFonts w:asciiTheme="minorHAnsi" w:hAnsiTheme="minorHAnsi"/>
        </w:rPr>
        <w:t xml:space="preserve">El enlace para acceder a dicho formulario es el siguiente:  </w:t>
      </w:r>
      <w:r w:rsidR="00F60C94" w:rsidRPr="00F60C94">
        <w:rPr>
          <w:rStyle w:val="Hipervnculo"/>
          <w:rFonts w:asciiTheme="minorHAnsi" w:hAnsiTheme="minorHAnsi"/>
        </w:rPr>
        <w:t>http://intranet/proveeduria/index.php/consultas-y-servicios/informacion-para-servidores-judiciales/formularios-de-devolucion</w:t>
      </w:r>
    </w:p>
    <w:p w14:paraId="4F45EE3E" w14:textId="48D1A7D9" w:rsidR="00F60C94" w:rsidRDefault="00F60C94" w:rsidP="00373CE5">
      <w:pPr>
        <w:ind w:left="993" w:right="697"/>
        <w:jc w:val="both"/>
        <w:rPr>
          <w:rStyle w:val="Hipervnculo"/>
          <w:rFonts w:asciiTheme="minorHAnsi" w:hAnsiTheme="minorHAnsi"/>
        </w:rPr>
      </w:pPr>
    </w:p>
    <w:p w14:paraId="61F709FB" w14:textId="47E2741F" w:rsidR="00E51F46" w:rsidRDefault="00F60C94" w:rsidP="00F60C94">
      <w:pPr>
        <w:ind w:left="993" w:right="697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CA774D0" wp14:editId="74068BF5">
            <wp:extent cx="4861560" cy="4472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06" cy="4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E9FC" w14:textId="77777777" w:rsidR="00E51F46" w:rsidRDefault="00E51F46" w:rsidP="00373CE5">
      <w:pPr>
        <w:ind w:left="993" w:right="697"/>
        <w:jc w:val="both"/>
        <w:rPr>
          <w:rFonts w:asciiTheme="minorHAnsi" w:hAnsiTheme="minorHAnsi"/>
        </w:rPr>
      </w:pPr>
    </w:p>
    <w:p w14:paraId="4BA9E102" w14:textId="1DFE2E66" w:rsidR="00354360" w:rsidRDefault="00354360" w:rsidP="00373CE5">
      <w:pPr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Luego de </w:t>
      </w:r>
      <w:r w:rsidR="009F18E0">
        <w:rPr>
          <w:rFonts w:asciiTheme="minorHAnsi" w:hAnsiTheme="minorHAnsi"/>
        </w:rPr>
        <w:t xml:space="preserve">efectuar </w:t>
      </w:r>
      <w:r>
        <w:rPr>
          <w:rFonts w:asciiTheme="minorHAnsi" w:hAnsiTheme="minorHAnsi"/>
        </w:rPr>
        <w:t xml:space="preserve">la </w:t>
      </w:r>
      <w:r w:rsidR="009F18E0">
        <w:rPr>
          <w:rFonts w:asciiTheme="minorHAnsi" w:hAnsiTheme="minorHAnsi"/>
        </w:rPr>
        <w:t>entrega</w:t>
      </w:r>
      <w:r>
        <w:rPr>
          <w:rFonts w:asciiTheme="minorHAnsi" w:hAnsiTheme="minorHAnsi"/>
        </w:rPr>
        <w:t xml:space="preserve"> de los activos, la oficina judicial </w:t>
      </w:r>
      <w:r w:rsidR="00A83640">
        <w:rPr>
          <w:rFonts w:asciiTheme="minorHAnsi" w:hAnsiTheme="minorHAnsi"/>
        </w:rPr>
        <w:t xml:space="preserve">debe verificar en el sistema que se realice el ajuste de </w:t>
      </w:r>
      <w:r w:rsidR="009F18E0">
        <w:rPr>
          <w:rFonts w:asciiTheme="minorHAnsi" w:hAnsiTheme="minorHAnsi"/>
        </w:rPr>
        <w:t>los mismos</w:t>
      </w:r>
      <w:r w:rsidR="00A83640">
        <w:rPr>
          <w:rFonts w:asciiTheme="minorHAnsi" w:hAnsiTheme="minorHAnsi"/>
        </w:rPr>
        <w:t xml:space="preserve"> de manera oportuna y en caso de ser necesario, debe comunicarse con las personas </w:t>
      </w:r>
      <w:r>
        <w:rPr>
          <w:rFonts w:asciiTheme="minorHAnsi" w:hAnsiTheme="minorHAnsi"/>
        </w:rPr>
        <w:t>encargad</w:t>
      </w:r>
      <w:r w:rsidR="00A83640">
        <w:rPr>
          <w:rFonts w:asciiTheme="minorHAnsi" w:hAnsiTheme="minorHAnsi"/>
        </w:rPr>
        <w:t>a</w:t>
      </w:r>
      <w:r>
        <w:rPr>
          <w:rFonts w:asciiTheme="minorHAnsi" w:hAnsiTheme="minorHAnsi"/>
        </w:rPr>
        <w:t>s del control de activos en cada Administración Regional, Administración Auxiliar de Justicia y/o Departamento de Proveeduría según sea el caso</w:t>
      </w:r>
      <w:r w:rsidR="009F18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para que se realice la actualización correspondiente en el</w:t>
      </w:r>
      <w:r w:rsidR="00DD5636">
        <w:rPr>
          <w:rFonts w:asciiTheme="minorHAnsi" w:hAnsiTheme="minorHAnsi"/>
        </w:rPr>
        <w:t xml:space="preserve"> Sistema</w:t>
      </w:r>
      <w:r>
        <w:rPr>
          <w:rFonts w:asciiTheme="minorHAnsi" w:hAnsiTheme="minorHAnsi"/>
        </w:rPr>
        <w:t xml:space="preserve"> SICA-PJ. </w:t>
      </w:r>
    </w:p>
    <w:p w14:paraId="4F29E523" w14:textId="77777777" w:rsidR="00354360" w:rsidRDefault="00354360" w:rsidP="00373CE5">
      <w:pPr>
        <w:ind w:left="993" w:right="697"/>
        <w:jc w:val="both"/>
        <w:rPr>
          <w:rFonts w:asciiTheme="minorHAnsi" w:hAnsiTheme="minorHAnsi"/>
        </w:rPr>
      </w:pPr>
    </w:p>
    <w:p w14:paraId="14A8B975" w14:textId="01770468" w:rsidR="00E85C53" w:rsidRPr="00903F4B" w:rsidRDefault="009F18E0" w:rsidP="00645F23">
      <w:pPr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Las </w:t>
      </w:r>
      <w:r w:rsidR="00354360" w:rsidRPr="00645F23">
        <w:rPr>
          <w:rFonts w:asciiTheme="minorHAnsi" w:hAnsiTheme="minorHAnsi"/>
        </w:rPr>
        <w:t xml:space="preserve">oficinas </w:t>
      </w:r>
      <w:r w:rsidR="004660F7" w:rsidRPr="00645F23">
        <w:rPr>
          <w:rFonts w:asciiTheme="minorHAnsi" w:hAnsiTheme="minorHAnsi"/>
        </w:rPr>
        <w:t xml:space="preserve">adscritas a la UAR 140 (Departamento de Proveeduría) que no cuenten </w:t>
      </w:r>
      <w:r w:rsidR="004660F7" w:rsidRPr="00903F4B">
        <w:rPr>
          <w:rFonts w:asciiTheme="minorHAnsi" w:hAnsiTheme="minorHAnsi"/>
        </w:rPr>
        <w:t>con Administración Auxiliar de Justicia o Administración Regional</w:t>
      </w:r>
      <w:r w:rsidR="00645F23" w:rsidRPr="00903F4B">
        <w:rPr>
          <w:rFonts w:asciiTheme="minorHAnsi" w:hAnsiTheme="minorHAnsi"/>
        </w:rPr>
        <w:t xml:space="preserve">, deberán enviar el formulario </w:t>
      </w:r>
      <w:r w:rsidRPr="00903F4B">
        <w:rPr>
          <w:rFonts w:asciiTheme="minorHAnsi" w:hAnsiTheme="minorHAnsi"/>
        </w:rPr>
        <w:t xml:space="preserve"> con la información completa </w:t>
      </w:r>
      <w:r w:rsidR="00645F23" w:rsidRPr="00903F4B">
        <w:rPr>
          <w:rFonts w:asciiTheme="minorHAnsi" w:hAnsiTheme="minorHAnsi"/>
        </w:rPr>
        <w:t xml:space="preserve"> </w:t>
      </w:r>
      <w:r w:rsidR="004660F7" w:rsidRPr="00903F4B">
        <w:rPr>
          <w:rFonts w:asciiTheme="minorHAnsi" w:hAnsiTheme="minorHAnsi"/>
        </w:rPr>
        <w:t xml:space="preserve">al correo: </w:t>
      </w:r>
      <w:hyperlink r:id="rId7" w:history="1">
        <w:r w:rsidR="004660F7" w:rsidRPr="00903F4B">
          <w:rPr>
            <w:rStyle w:val="Hipervnculo"/>
            <w:rFonts w:asciiTheme="minorHAnsi" w:hAnsiTheme="minorHAnsi"/>
          </w:rPr>
          <w:t>activospj@poder-Judicial.go.cr</w:t>
        </w:r>
      </w:hyperlink>
      <w:r w:rsidR="004660F7" w:rsidRPr="00903F4B">
        <w:rPr>
          <w:rFonts w:asciiTheme="minorHAnsi" w:hAnsiTheme="minorHAnsi"/>
        </w:rPr>
        <w:t xml:space="preserve">, con copia al correo: </w:t>
      </w:r>
      <w:hyperlink r:id="rId8" w:history="1">
        <w:r w:rsidR="007A3F25" w:rsidRPr="00903F4B">
          <w:rPr>
            <w:rStyle w:val="Hipervnculo"/>
            <w:rFonts w:asciiTheme="minorHAnsi" w:hAnsiTheme="minorHAnsi"/>
          </w:rPr>
          <w:t>lsanchezga@poder-judicial.go.cr</w:t>
        </w:r>
      </w:hyperlink>
      <w:r w:rsidR="00645F23" w:rsidRPr="00903F4B">
        <w:rPr>
          <w:rFonts w:asciiTheme="minorHAnsi" w:hAnsiTheme="minorHAnsi"/>
        </w:rPr>
        <w:t>, para que se apliquen los movimientos en el SICA-PJ.</w:t>
      </w:r>
      <w:r w:rsidR="00277784" w:rsidRPr="00903F4B">
        <w:rPr>
          <w:rFonts w:asciiTheme="minorHAnsi" w:hAnsiTheme="minorHAnsi"/>
        </w:rPr>
        <w:t xml:space="preserve"> </w:t>
      </w:r>
    </w:p>
    <w:p w14:paraId="43964C7E" w14:textId="77777777" w:rsidR="00E85C53" w:rsidRPr="00903F4B" w:rsidRDefault="00E85C53" w:rsidP="00645F23">
      <w:pPr>
        <w:ind w:left="993" w:right="697"/>
        <w:jc w:val="both"/>
        <w:rPr>
          <w:rFonts w:asciiTheme="minorHAnsi" w:hAnsiTheme="minorHAnsi"/>
        </w:rPr>
      </w:pPr>
    </w:p>
    <w:p w14:paraId="14AFF66E" w14:textId="0E2AB8F6" w:rsidR="00354360" w:rsidRPr="00903F4B" w:rsidRDefault="00DD5636" w:rsidP="00645F23">
      <w:pPr>
        <w:ind w:left="993" w:right="697"/>
        <w:jc w:val="both"/>
        <w:rPr>
          <w:rFonts w:asciiTheme="minorHAnsi" w:hAnsiTheme="minorHAnsi"/>
        </w:rPr>
      </w:pPr>
      <w:r w:rsidRPr="00903F4B">
        <w:rPr>
          <w:rFonts w:asciiTheme="minorHAnsi" w:hAnsiTheme="minorHAnsi"/>
        </w:rPr>
        <w:t>P</w:t>
      </w:r>
      <w:r w:rsidR="00277784" w:rsidRPr="00903F4B">
        <w:rPr>
          <w:rFonts w:asciiTheme="minorHAnsi" w:hAnsiTheme="minorHAnsi"/>
        </w:rPr>
        <w:t xml:space="preserve">ara las oficinas que sí cuenten con oficina Administrativa, </w:t>
      </w:r>
      <w:r w:rsidRPr="00903F4B">
        <w:rPr>
          <w:rFonts w:asciiTheme="minorHAnsi" w:hAnsiTheme="minorHAnsi"/>
        </w:rPr>
        <w:t>pueden coordinar lo necesario a las</w:t>
      </w:r>
      <w:r w:rsidR="00554B49" w:rsidRPr="00903F4B">
        <w:rPr>
          <w:rFonts w:asciiTheme="minorHAnsi" w:hAnsiTheme="minorHAnsi"/>
        </w:rPr>
        <w:t xml:space="preserve"> cuentas oficiales de dichos despachos, y serán estos quienes realicen los ajustes en el sistema o </w:t>
      </w:r>
      <w:r w:rsidR="00E85C53" w:rsidRPr="00903F4B">
        <w:rPr>
          <w:rFonts w:asciiTheme="minorHAnsi" w:hAnsiTheme="minorHAnsi"/>
        </w:rPr>
        <w:t xml:space="preserve">quienes </w:t>
      </w:r>
      <w:r w:rsidR="009F18E0" w:rsidRPr="00903F4B">
        <w:rPr>
          <w:rFonts w:asciiTheme="minorHAnsi" w:hAnsiTheme="minorHAnsi"/>
        </w:rPr>
        <w:t>coordin</w:t>
      </w:r>
      <w:r w:rsidR="00E85C53" w:rsidRPr="00903F4B">
        <w:rPr>
          <w:rFonts w:asciiTheme="minorHAnsi" w:hAnsiTheme="minorHAnsi"/>
        </w:rPr>
        <w:t>en</w:t>
      </w:r>
      <w:r w:rsidR="009F18E0" w:rsidRPr="00903F4B">
        <w:rPr>
          <w:rFonts w:asciiTheme="minorHAnsi" w:hAnsiTheme="minorHAnsi"/>
        </w:rPr>
        <w:t xml:space="preserve"> lo necesario con el Departamento de Proveeduría.</w:t>
      </w:r>
    </w:p>
    <w:p w14:paraId="2632BB0B" w14:textId="033E6DB7" w:rsidR="009642E2" w:rsidRPr="00903F4B" w:rsidRDefault="009642E2" w:rsidP="00645F23">
      <w:pPr>
        <w:ind w:left="993" w:right="697"/>
        <w:jc w:val="both"/>
        <w:rPr>
          <w:rFonts w:asciiTheme="minorHAnsi" w:hAnsiTheme="minorHAnsi"/>
        </w:rPr>
      </w:pPr>
    </w:p>
    <w:p w14:paraId="0D03BB5B" w14:textId="48635A80" w:rsidR="009642E2" w:rsidRPr="00903F4B" w:rsidRDefault="009642E2" w:rsidP="009642E2">
      <w:pPr>
        <w:ind w:left="993" w:right="697"/>
        <w:jc w:val="both"/>
        <w:rPr>
          <w:rStyle w:val="Hipervnculo"/>
          <w:rFonts w:asciiTheme="minorHAnsi" w:hAnsiTheme="minorHAnsi"/>
          <w:color w:val="auto"/>
          <w:u w:val="none"/>
        </w:rPr>
      </w:pPr>
      <w:r w:rsidRPr="00903F4B">
        <w:rPr>
          <w:rFonts w:asciiTheme="minorHAnsi" w:hAnsiTheme="minorHAnsi"/>
        </w:rPr>
        <w:t>Cabe indicar que los bienes devueltos a las diferentes bodegas del Departamento de Proveeduría deberán ajustarse en un plazo de 5 días hábiles</w:t>
      </w:r>
      <w:r w:rsidR="00E85C53" w:rsidRPr="00903F4B">
        <w:rPr>
          <w:rFonts w:asciiTheme="minorHAnsi" w:hAnsiTheme="minorHAnsi"/>
        </w:rPr>
        <w:t>.</w:t>
      </w:r>
      <w:r w:rsidRPr="00903F4B">
        <w:rPr>
          <w:rFonts w:asciiTheme="minorHAnsi" w:hAnsiTheme="minorHAnsi"/>
        </w:rPr>
        <w:t xml:space="preserve"> </w:t>
      </w:r>
      <w:r w:rsidR="00E85C53" w:rsidRPr="00903F4B">
        <w:rPr>
          <w:rFonts w:asciiTheme="minorHAnsi" w:hAnsiTheme="minorHAnsi"/>
        </w:rPr>
        <w:t>P</w:t>
      </w:r>
      <w:r w:rsidRPr="00903F4B">
        <w:rPr>
          <w:rFonts w:asciiTheme="minorHAnsi" w:hAnsiTheme="minorHAnsi"/>
        </w:rPr>
        <w:t xml:space="preserve">ara estos casos no es necesario que se comunique al correo </w:t>
      </w:r>
      <w:hyperlink r:id="rId9" w:history="1">
        <w:r w:rsidRPr="00903F4B">
          <w:rPr>
            <w:rStyle w:val="Hipervnculo"/>
            <w:rFonts w:asciiTheme="minorHAnsi" w:hAnsiTheme="minorHAnsi"/>
          </w:rPr>
          <w:t>activospj@poder-Judicial.go.cr</w:t>
        </w:r>
      </w:hyperlink>
      <w:r w:rsidRPr="00903F4B">
        <w:rPr>
          <w:rStyle w:val="Hipervnculo"/>
          <w:rFonts w:asciiTheme="minorHAnsi" w:hAnsiTheme="minorHAnsi"/>
        </w:rPr>
        <w:t xml:space="preserve"> </w:t>
      </w:r>
      <w:r w:rsidRPr="00903F4B">
        <w:rPr>
          <w:rFonts w:asciiTheme="minorHAnsi" w:hAnsiTheme="minorHAnsi"/>
        </w:rPr>
        <w:t xml:space="preserve">ya que dichos </w:t>
      </w:r>
      <w:r w:rsidRPr="00903F4B">
        <w:rPr>
          <w:rFonts w:asciiTheme="minorHAnsi" w:hAnsiTheme="minorHAnsi"/>
        </w:rPr>
        <w:lastRenderedPageBreak/>
        <w:t xml:space="preserve">ajustes se aplican por defecto desde bodega, sin embargo, de igual forma se brindan los correos oficiales de las bodegas para que </w:t>
      </w:r>
      <w:r w:rsidR="007A3F25" w:rsidRPr="00903F4B">
        <w:rPr>
          <w:rFonts w:asciiTheme="minorHAnsi" w:hAnsiTheme="minorHAnsi"/>
        </w:rPr>
        <w:t>cada oficina</w:t>
      </w:r>
      <w:r w:rsidR="00E85C53" w:rsidRPr="00903F4B">
        <w:rPr>
          <w:rFonts w:asciiTheme="minorHAnsi" w:hAnsiTheme="minorHAnsi"/>
        </w:rPr>
        <w:t xml:space="preserve"> realice </w:t>
      </w:r>
      <w:r w:rsidR="007A3F25" w:rsidRPr="00903F4B">
        <w:rPr>
          <w:rFonts w:asciiTheme="minorHAnsi" w:hAnsiTheme="minorHAnsi"/>
        </w:rPr>
        <w:t>el seguimiento correspondiente</w:t>
      </w:r>
      <w:r w:rsidRPr="00903F4B">
        <w:rPr>
          <w:rFonts w:asciiTheme="minorHAnsi" w:hAnsiTheme="minorHAnsi"/>
        </w:rPr>
        <w:t xml:space="preserve">: </w:t>
      </w:r>
    </w:p>
    <w:p w14:paraId="2D757CDB" w14:textId="0F43A2B9" w:rsidR="009642E2" w:rsidRPr="00903F4B" w:rsidRDefault="009642E2" w:rsidP="00645F23">
      <w:pPr>
        <w:ind w:left="993" w:right="697"/>
        <w:jc w:val="both"/>
        <w:rPr>
          <w:rFonts w:asciiTheme="minorHAnsi" w:hAnsiTheme="minorHAnsi"/>
        </w:rPr>
      </w:pPr>
    </w:p>
    <w:p w14:paraId="7D9A02E2" w14:textId="0ECD0A36" w:rsidR="007A3F25" w:rsidRPr="00903F4B" w:rsidRDefault="009642E2" w:rsidP="007A3F25">
      <w:pPr>
        <w:pStyle w:val="Prrafodelista"/>
        <w:numPr>
          <w:ilvl w:val="0"/>
          <w:numId w:val="4"/>
        </w:numPr>
        <w:ind w:right="697"/>
        <w:jc w:val="both"/>
        <w:rPr>
          <w:rStyle w:val="Hipervnculo"/>
          <w:rFonts w:asciiTheme="minorHAnsi" w:hAnsiTheme="minorHAnsi"/>
          <w:color w:val="000000" w:themeColor="text1"/>
        </w:rPr>
      </w:pPr>
      <w:r w:rsidRPr="00903F4B">
        <w:rPr>
          <w:rFonts w:asciiTheme="minorHAnsi" w:hAnsiTheme="minorHAnsi"/>
          <w:color w:val="000000" w:themeColor="text1"/>
        </w:rPr>
        <w:t xml:space="preserve">Bodega de los Ángeles, San José: </w:t>
      </w:r>
      <w:hyperlink r:id="rId10" w:history="1">
        <w:r w:rsidR="007A3F25" w:rsidRPr="00903F4B">
          <w:rPr>
            <w:rStyle w:val="Hipervnculo"/>
            <w:rFonts w:asciiTheme="minorHAnsi" w:hAnsiTheme="minorHAnsi"/>
          </w:rPr>
          <w:t>bod-computo@poder-judicial.go.cr</w:t>
        </w:r>
      </w:hyperlink>
      <w:r w:rsidR="007A3F25" w:rsidRPr="00903F4B">
        <w:rPr>
          <w:rStyle w:val="Hipervnculo"/>
          <w:rFonts w:asciiTheme="minorHAnsi" w:hAnsiTheme="minorHAnsi"/>
          <w:color w:val="000000" w:themeColor="text1"/>
        </w:rPr>
        <w:t xml:space="preserve"> </w:t>
      </w:r>
    </w:p>
    <w:p w14:paraId="1C3058B5" w14:textId="29D2AE8B" w:rsidR="008225B2" w:rsidRPr="00903F4B" w:rsidRDefault="009642E2" w:rsidP="008225B2">
      <w:pPr>
        <w:pStyle w:val="Prrafodelista"/>
        <w:numPr>
          <w:ilvl w:val="0"/>
          <w:numId w:val="4"/>
        </w:numPr>
        <w:ind w:right="697"/>
        <w:jc w:val="both"/>
        <w:rPr>
          <w:rStyle w:val="Hipervnculo"/>
          <w:rFonts w:asciiTheme="minorHAnsi" w:hAnsiTheme="minorHAnsi"/>
          <w:color w:val="000000" w:themeColor="text1"/>
        </w:rPr>
      </w:pPr>
      <w:r w:rsidRPr="00903F4B">
        <w:rPr>
          <w:rFonts w:asciiTheme="minorHAnsi" w:hAnsiTheme="minorHAnsi"/>
          <w:color w:val="000000" w:themeColor="text1"/>
        </w:rPr>
        <w:t>Bodega de equipo de cómputo de San Joaquín de Flores:</w:t>
      </w:r>
      <w:r w:rsidR="008225B2" w:rsidRPr="00903F4B">
        <w:rPr>
          <w:color w:val="000000" w:themeColor="text1"/>
        </w:rPr>
        <w:t xml:space="preserve"> </w:t>
      </w:r>
      <w:hyperlink r:id="rId11" w:history="1">
        <w:r w:rsidR="007A3F25" w:rsidRPr="00903F4B">
          <w:rPr>
            <w:rStyle w:val="Hipervnculo"/>
            <w:rFonts w:asciiTheme="minorHAnsi" w:hAnsiTheme="minorHAnsi"/>
          </w:rPr>
          <w:t>prove-control@poder-judicial.go.cr</w:t>
        </w:r>
      </w:hyperlink>
    </w:p>
    <w:p w14:paraId="0B63EC62" w14:textId="76C73B8C" w:rsidR="008225B2" w:rsidRPr="00903F4B" w:rsidRDefault="009642E2" w:rsidP="008225B2">
      <w:pPr>
        <w:pStyle w:val="Prrafodelista"/>
        <w:numPr>
          <w:ilvl w:val="0"/>
          <w:numId w:val="4"/>
        </w:numPr>
        <w:ind w:right="697"/>
        <w:jc w:val="both"/>
        <w:rPr>
          <w:rStyle w:val="Hipervnculo"/>
          <w:rFonts w:asciiTheme="minorHAnsi" w:hAnsiTheme="minorHAnsi"/>
          <w:color w:val="000000" w:themeColor="text1"/>
        </w:rPr>
      </w:pPr>
      <w:r w:rsidRPr="00903F4B">
        <w:rPr>
          <w:rFonts w:asciiTheme="minorHAnsi" w:hAnsiTheme="minorHAnsi"/>
          <w:color w:val="000000" w:themeColor="text1"/>
        </w:rPr>
        <w:t xml:space="preserve">Bodega de equipo de cómputo de San José: </w:t>
      </w:r>
      <w:hyperlink r:id="rId12" w:history="1">
        <w:r w:rsidR="008225B2" w:rsidRPr="00903F4B">
          <w:rPr>
            <w:rStyle w:val="Hipervnculo"/>
            <w:rFonts w:asciiTheme="minorHAnsi" w:hAnsiTheme="minorHAnsi"/>
          </w:rPr>
          <w:t>computo-prove@Poder-Judicial.go.cr</w:t>
        </w:r>
      </w:hyperlink>
      <w:r w:rsidR="008225B2" w:rsidRPr="00903F4B">
        <w:rPr>
          <w:rStyle w:val="Hipervnculo"/>
          <w:rFonts w:asciiTheme="minorHAnsi" w:hAnsiTheme="minorHAnsi"/>
          <w:color w:val="000000" w:themeColor="text1"/>
        </w:rPr>
        <w:t xml:space="preserve"> </w:t>
      </w:r>
    </w:p>
    <w:p w14:paraId="18394D05" w14:textId="41715A31" w:rsidR="009642E2" w:rsidRPr="00903F4B" w:rsidRDefault="009642E2" w:rsidP="008225B2">
      <w:pPr>
        <w:pStyle w:val="Prrafodelista"/>
        <w:numPr>
          <w:ilvl w:val="0"/>
          <w:numId w:val="4"/>
        </w:numPr>
        <w:ind w:right="697"/>
        <w:jc w:val="both"/>
        <w:rPr>
          <w:rFonts w:asciiTheme="minorHAnsi" w:hAnsiTheme="minorHAnsi"/>
          <w:color w:val="000000" w:themeColor="text1"/>
        </w:rPr>
      </w:pPr>
      <w:r w:rsidRPr="00903F4B">
        <w:rPr>
          <w:rFonts w:asciiTheme="minorHAnsi" w:hAnsiTheme="minorHAnsi"/>
          <w:color w:val="000000" w:themeColor="text1"/>
        </w:rPr>
        <w:t>Unidad de reparaciones, San José:</w:t>
      </w:r>
      <w:r w:rsidRPr="00903F4B">
        <w:rPr>
          <w:rStyle w:val="Hipervnculo"/>
          <w:rFonts w:asciiTheme="minorHAnsi" w:hAnsiTheme="minorHAnsi"/>
          <w:color w:val="000000" w:themeColor="text1"/>
        </w:rPr>
        <w:t xml:space="preserve"> </w:t>
      </w:r>
      <w:hyperlink r:id="rId13" w:history="1">
        <w:r w:rsidR="007A3F25" w:rsidRPr="00903F4B">
          <w:rPr>
            <w:rStyle w:val="Hipervnculo"/>
            <w:rFonts w:asciiTheme="minorHAnsi" w:hAnsiTheme="minorHAnsi"/>
          </w:rPr>
          <w:t>reparaciones@poder-judicial.go.cr</w:t>
        </w:r>
      </w:hyperlink>
      <w:r w:rsidR="008225B2" w:rsidRPr="00903F4B">
        <w:rPr>
          <w:rStyle w:val="Hipervnculo"/>
          <w:rFonts w:asciiTheme="minorHAnsi" w:hAnsiTheme="minorHAnsi"/>
          <w:color w:val="000000" w:themeColor="text1"/>
        </w:rPr>
        <w:t xml:space="preserve"> </w:t>
      </w:r>
    </w:p>
    <w:p w14:paraId="3D8D89B1" w14:textId="77777777" w:rsidR="004660F7" w:rsidRDefault="004660F7" w:rsidP="00373CE5">
      <w:pPr>
        <w:ind w:left="993" w:right="697"/>
        <w:jc w:val="both"/>
        <w:rPr>
          <w:rFonts w:asciiTheme="minorHAnsi" w:hAnsiTheme="minorHAnsi"/>
        </w:rPr>
      </w:pPr>
    </w:p>
    <w:p w14:paraId="79E819D3" w14:textId="0EDE946C" w:rsidR="004660F7" w:rsidRPr="00796F35" w:rsidRDefault="004660F7" w:rsidP="007A3F25">
      <w:pPr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las distintas Administraciones Regionales y Administraciones Auxiliares de Justicia del país</w:t>
      </w:r>
      <w:r w:rsidR="00DD563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se les solicita emitir un comunicado a los correos oficiales de cada </w:t>
      </w:r>
      <w:r w:rsidR="00554B49">
        <w:rPr>
          <w:rFonts w:asciiTheme="minorHAnsi" w:hAnsiTheme="minorHAnsi"/>
        </w:rPr>
        <w:t>oficina en el que se indique la cuenta o cuentas de correo</w:t>
      </w:r>
      <w:r>
        <w:rPr>
          <w:rFonts w:asciiTheme="minorHAnsi" w:hAnsiTheme="minorHAnsi"/>
        </w:rPr>
        <w:t xml:space="preserve"> </w:t>
      </w:r>
      <w:r w:rsidR="00E85C53">
        <w:rPr>
          <w:rFonts w:asciiTheme="minorHAnsi" w:hAnsiTheme="minorHAnsi"/>
        </w:rPr>
        <w:t xml:space="preserve">a las </w:t>
      </w:r>
      <w:r>
        <w:rPr>
          <w:rFonts w:asciiTheme="minorHAnsi" w:hAnsiTheme="minorHAnsi"/>
        </w:rPr>
        <w:t>cuales pueden enviar los documentos con los traslados de activos a otras oficinas o funcionarios judiciales, para que l</w:t>
      </w:r>
      <w:r w:rsidR="00E85C5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s </w:t>
      </w:r>
      <w:r w:rsidR="00212AD1">
        <w:rPr>
          <w:rFonts w:asciiTheme="minorHAnsi" w:hAnsiTheme="minorHAnsi"/>
        </w:rPr>
        <w:t>personas encargadas</w:t>
      </w:r>
      <w:r>
        <w:rPr>
          <w:rFonts w:asciiTheme="minorHAnsi" w:hAnsiTheme="minorHAnsi"/>
        </w:rPr>
        <w:t xml:space="preserve"> </w:t>
      </w:r>
      <w:r w:rsidR="00554B49">
        <w:rPr>
          <w:rFonts w:asciiTheme="minorHAnsi" w:hAnsiTheme="minorHAnsi"/>
        </w:rPr>
        <w:t>e</w:t>
      </w:r>
      <w:r w:rsidR="00E85C53">
        <w:rPr>
          <w:rFonts w:asciiTheme="minorHAnsi" w:hAnsiTheme="minorHAnsi"/>
        </w:rPr>
        <w:t>n</w:t>
      </w:r>
      <w:r w:rsidR="00554B49">
        <w:rPr>
          <w:rFonts w:asciiTheme="minorHAnsi" w:hAnsiTheme="minorHAnsi"/>
        </w:rPr>
        <w:t xml:space="preserve"> dichas Administraciones </w:t>
      </w:r>
      <w:r>
        <w:rPr>
          <w:rFonts w:asciiTheme="minorHAnsi" w:hAnsiTheme="minorHAnsi"/>
        </w:rPr>
        <w:t xml:space="preserve">gestionen las </w:t>
      </w:r>
      <w:r w:rsidR="00554B49">
        <w:rPr>
          <w:rFonts w:asciiTheme="minorHAnsi" w:hAnsiTheme="minorHAnsi"/>
        </w:rPr>
        <w:t>actualizaciones que correspondan</w:t>
      </w:r>
      <w:r w:rsidR="007A3F25">
        <w:rPr>
          <w:rFonts w:asciiTheme="minorHAnsi" w:hAnsiTheme="minorHAnsi"/>
        </w:rPr>
        <w:t xml:space="preserve"> en el SICA-PJ</w:t>
      </w:r>
      <w:r w:rsidR="00E85C53">
        <w:rPr>
          <w:rFonts w:asciiTheme="minorHAnsi" w:hAnsiTheme="minorHAnsi"/>
        </w:rPr>
        <w:t>.</w:t>
      </w:r>
      <w:r w:rsidR="007A3F25">
        <w:rPr>
          <w:rFonts w:asciiTheme="minorHAnsi" w:hAnsiTheme="minorHAnsi"/>
        </w:rPr>
        <w:t xml:space="preserve"> </w:t>
      </w:r>
      <w:r w:rsidR="00E85C53" w:rsidRPr="00903F4B">
        <w:rPr>
          <w:rFonts w:asciiTheme="minorHAnsi" w:hAnsiTheme="minorHAnsi"/>
          <w:u w:val="single"/>
        </w:rPr>
        <w:t>D</w:t>
      </w:r>
      <w:r w:rsidR="007A3F25" w:rsidRPr="00903F4B">
        <w:rPr>
          <w:rFonts w:asciiTheme="minorHAnsi" w:hAnsiTheme="minorHAnsi"/>
          <w:u w:val="single"/>
        </w:rPr>
        <w:t>icho comunicado deberá realizarse antes del 11 de mayo del presente año y se tendrá que enviar copia a los correos:</w:t>
      </w:r>
      <w:r w:rsidR="007A3F25" w:rsidRPr="00796F35">
        <w:rPr>
          <w:rFonts w:asciiTheme="minorHAnsi" w:hAnsiTheme="minorHAnsi"/>
        </w:rPr>
        <w:t xml:space="preserve"> </w:t>
      </w:r>
      <w:hyperlink r:id="rId14" w:history="1">
        <w:r w:rsidR="007A3F25" w:rsidRPr="00796F35">
          <w:rPr>
            <w:rStyle w:val="Hipervnculo"/>
            <w:rFonts w:asciiTheme="minorHAnsi" w:hAnsiTheme="minorHAnsi"/>
            <w:u w:val="none"/>
          </w:rPr>
          <w:t>elopeza@poder-Judicial.go.cr</w:t>
        </w:r>
      </w:hyperlink>
      <w:r w:rsidR="007A3F25" w:rsidRPr="00796F35">
        <w:rPr>
          <w:rFonts w:asciiTheme="minorHAnsi" w:hAnsiTheme="minorHAnsi"/>
        </w:rPr>
        <w:t xml:space="preserve"> y </w:t>
      </w:r>
      <w:hyperlink r:id="rId15" w:history="1">
        <w:r w:rsidR="007A3F25" w:rsidRPr="00796F35">
          <w:rPr>
            <w:rStyle w:val="Hipervnculo"/>
            <w:rFonts w:asciiTheme="minorHAnsi" w:hAnsiTheme="minorHAnsi"/>
            <w:u w:val="none"/>
          </w:rPr>
          <w:t>lsanchezga@poder-Judicial.go.cr</w:t>
        </w:r>
      </w:hyperlink>
    </w:p>
    <w:p w14:paraId="58339B47" w14:textId="77777777" w:rsidR="00554B49" w:rsidRDefault="00554B49" w:rsidP="00373CE5">
      <w:pPr>
        <w:ind w:left="993" w:right="697"/>
        <w:jc w:val="both"/>
        <w:rPr>
          <w:rFonts w:asciiTheme="minorHAnsi" w:hAnsiTheme="minorHAnsi"/>
        </w:rPr>
      </w:pPr>
    </w:p>
    <w:p w14:paraId="4ED8D4B9" w14:textId="6D3B5B16" w:rsidR="00DD5636" w:rsidRDefault="00554B49" w:rsidP="00373CE5">
      <w:pPr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importante indicar que los </w:t>
      </w:r>
      <w:r w:rsidR="00A83640">
        <w:rPr>
          <w:rFonts w:asciiTheme="minorHAnsi" w:hAnsiTheme="minorHAnsi"/>
        </w:rPr>
        <w:t xml:space="preserve">ajustes en sistema se deben realizar </w:t>
      </w:r>
      <w:r w:rsidR="0096655E">
        <w:rPr>
          <w:rFonts w:asciiTheme="minorHAnsi" w:hAnsiTheme="minorHAnsi"/>
        </w:rPr>
        <w:t xml:space="preserve">a la brevedad y no cuando se inicie cada periodo de inventario anual, o cuando la Proveeduría </w:t>
      </w:r>
      <w:r w:rsidR="00E85C53">
        <w:rPr>
          <w:rFonts w:asciiTheme="minorHAnsi" w:hAnsiTheme="minorHAnsi"/>
        </w:rPr>
        <w:t xml:space="preserve">consulte </w:t>
      </w:r>
      <w:r w:rsidR="0096655E">
        <w:rPr>
          <w:rFonts w:asciiTheme="minorHAnsi" w:hAnsiTheme="minorHAnsi"/>
        </w:rPr>
        <w:t xml:space="preserve">  </w:t>
      </w:r>
      <w:r w:rsidR="00E85C53">
        <w:rPr>
          <w:rFonts w:asciiTheme="minorHAnsi" w:hAnsiTheme="minorHAnsi"/>
        </w:rPr>
        <w:t xml:space="preserve">sobre </w:t>
      </w:r>
      <w:r w:rsidR="0096655E">
        <w:rPr>
          <w:rFonts w:asciiTheme="minorHAnsi" w:hAnsiTheme="minorHAnsi"/>
        </w:rPr>
        <w:t xml:space="preserve">los </w:t>
      </w:r>
      <w:r w:rsidR="00903F4B">
        <w:rPr>
          <w:rFonts w:asciiTheme="minorHAnsi" w:hAnsiTheme="minorHAnsi"/>
        </w:rPr>
        <w:t>activos, ya</w:t>
      </w:r>
      <w:r w:rsidR="0096655E">
        <w:rPr>
          <w:rFonts w:asciiTheme="minorHAnsi" w:hAnsiTheme="minorHAnsi"/>
        </w:rPr>
        <w:t xml:space="preserve"> que </w:t>
      </w:r>
      <w:r w:rsidR="00E85C53">
        <w:rPr>
          <w:rFonts w:asciiTheme="minorHAnsi" w:hAnsiTheme="minorHAnsi"/>
        </w:rPr>
        <w:t xml:space="preserve">se </w:t>
      </w:r>
      <w:r w:rsidR="0096655E">
        <w:rPr>
          <w:rFonts w:asciiTheme="minorHAnsi" w:hAnsiTheme="minorHAnsi"/>
        </w:rPr>
        <w:t xml:space="preserve">reitera </w:t>
      </w:r>
      <w:r w:rsidR="00E85C53">
        <w:rPr>
          <w:rFonts w:asciiTheme="minorHAnsi" w:hAnsiTheme="minorHAnsi"/>
        </w:rPr>
        <w:t xml:space="preserve">que </w:t>
      </w:r>
      <w:r w:rsidR="0096655E" w:rsidRPr="0096655E">
        <w:rPr>
          <w:rFonts w:asciiTheme="minorHAnsi" w:hAnsiTheme="minorHAnsi"/>
          <w:u w:val="single"/>
        </w:rPr>
        <w:t>es responsabilidad de cada oficina judicial mantener sus inventarios actualizados</w:t>
      </w:r>
      <w:r w:rsidR="00DD5636">
        <w:rPr>
          <w:rFonts w:asciiTheme="minorHAnsi" w:hAnsiTheme="minorHAnsi"/>
          <w:u w:val="single"/>
        </w:rPr>
        <w:t>,</w:t>
      </w:r>
      <w:r w:rsidR="0096655E" w:rsidRPr="0096655E">
        <w:rPr>
          <w:rFonts w:asciiTheme="minorHAnsi" w:hAnsiTheme="minorHAnsi"/>
          <w:u w:val="single"/>
        </w:rPr>
        <w:t xml:space="preserve"> para lo cual deben respaldar cada movimiento y solicitar los aju</w:t>
      </w:r>
      <w:r w:rsidR="0096655E">
        <w:rPr>
          <w:rFonts w:asciiTheme="minorHAnsi" w:hAnsiTheme="minorHAnsi"/>
          <w:u w:val="single"/>
        </w:rPr>
        <w:t>stes a los centros de responsabilidad que correspondan</w:t>
      </w:r>
      <w:r w:rsidR="00E85C53">
        <w:rPr>
          <w:rFonts w:asciiTheme="minorHAnsi" w:hAnsiTheme="minorHAnsi"/>
          <w:u w:val="single"/>
        </w:rPr>
        <w:t>.</w:t>
      </w:r>
      <w:r w:rsidR="0096655E">
        <w:rPr>
          <w:rFonts w:asciiTheme="minorHAnsi" w:hAnsiTheme="minorHAnsi"/>
          <w:u w:val="single"/>
        </w:rPr>
        <w:t xml:space="preserve"> </w:t>
      </w:r>
      <w:r w:rsidR="00E85C53">
        <w:rPr>
          <w:rFonts w:asciiTheme="minorHAnsi" w:hAnsiTheme="minorHAnsi"/>
          <w:u w:val="single"/>
        </w:rPr>
        <w:t>D</w:t>
      </w:r>
      <w:r w:rsidR="0096655E">
        <w:rPr>
          <w:rFonts w:asciiTheme="minorHAnsi" w:hAnsiTheme="minorHAnsi"/>
          <w:u w:val="single"/>
        </w:rPr>
        <w:t xml:space="preserve">e igual forma deben realizar un seguimiento a sus solicitudes y confirmar los movimientos </w:t>
      </w:r>
      <w:r w:rsidR="00DD5636">
        <w:rPr>
          <w:rFonts w:asciiTheme="minorHAnsi" w:hAnsiTheme="minorHAnsi"/>
          <w:u w:val="single"/>
        </w:rPr>
        <w:t xml:space="preserve">correspondientes en el </w:t>
      </w:r>
      <w:r w:rsidR="0096655E">
        <w:rPr>
          <w:rFonts w:asciiTheme="minorHAnsi" w:hAnsiTheme="minorHAnsi"/>
          <w:u w:val="single"/>
        </w:rPr>
        <w:t>SICA-PJ</w:t>
      </w:r>
      <w:r w:rsidR="0096655E" w:rsidRPr="0096655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14:paraId="6F65A68E" w14:textId="77777777" w:rsidR="00DD5636" w:rsidRDefault="00DD5636" w:rsidP="00373CE5">
      <w:pPr>
        <w:ind w:left="993" w:right="697"/>
        <w:jc w:val="both"/>
        <w:rPr>
          <w:rFonts w:asciiTheme="minorHAnsi" w:hAnsiTheme="minorHAnsi"/>
        </w:rPr>
      </w:pPr>
    </w:p>
    <w:p w14:paraId="29B37E43" w14:textId="192250DB" w:rsidR="0096655E" w:rsidRPr="0096655E" w:rsidRDefault="0096655E" w:rsidP="00373CE5">
      <w:pPr>
        <w:ind w:left="993" w:right="697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El plazo </w:t>
      </w:r>
      <w:r w:rsidR="00DD5636">
        <w:rPr>
          <w:rFonts w:asciiTheme="minorHAnsi" w:hAnsiTheme="minorHAnsi"/>
        </w:rPr>
        <w:t xml:space="preserve">para realizar ajustes en el </w:t>
      </w:r>
      <w:r w:rsidR="00645F23">
        <w:rPr>
          <w:rFonts w:asciiTheme="minorHAnsi" w:hAnsiTheme="minorHAnsi"/>
        </w:rPr>
        <w:t>sistema es</w:t>
      </w:r>
      <w:r>
        <w:rPr>
          <w:rFonts w:asciiTheme="minorHAnsi" w:hAnsiTheme="minorHAnsi"/>
        </w:rPr>
        <w:t xml:space="preserve"> de </w:t>
      </w:r>
      <w:r w:rsidRPr="0096655E">
        <w:rPr>
          <w:rFonts w:asciiTheme="minorHAnsi" w:hAnsiTheme="minorHAnsi"/>
          <w:u w:val="single"/>
        </w:rPr>
        <w:t>5 días hábiles</w:t>
      </w:r>
      <w:r>
        <w:rPr>
          <w:rFonts w:asciiTheme="minorHAnsi" w:hAnsiTheme="minorHAnsi"/>
        </w:rPr>
        <w:t xml:space="preserve">, </w:t>
      </w:r>
      <w:r w:rsidR="00DD5636">
        <w:rPr>
          <w:rFonts w:asciiTheme="minorHAnsi" w:hAnsiTheme="minorHAnsi"/>
        </w:rPr>
        <w:t xml:space="preserve">luego de los cuales, las oficinas </w:t>
      </w:r>
      <w:r>
        <w:rPr>
          <w:rFonts w:asciiTheme="minorHAnsi" w:hAnsiTheme="minorHAnsi"/>
        </w:rPr>
        <w:t>debe</w:t>
      </w:r>
      <w:r w:rsidR="00E85C53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realizar el seguimiento y revisión de los cambios</w:t>
      </w:r>
      <w:r w:rsidR="00DD5636">
        <w:rPr>
          <w:rFonts w:asciiTheme="minorHAnsi" w:hAnsiTheme="minorHAnsi"/>
        </w:rPr>
        <w:t xml:space="preserve"> en el Sistema SICA-PJ</w:t>
      </w:r>
      <w:r w:rsidR="00E7659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E76597">
        <w:rPr>
          <w:rFonts w:asciiTheme="minorHAnsi" w:hAnsiTheme="minorHAnsi"/>
        </w:rPr>
        <w:t>E</w:t>
      </w:r>
      <w:r>
        <w:rPr>
          <w:rFonts w:asciiTheme="minorHAnsi" w:hAnsiTheme="minorHAnsi"/>
        </w:rPr>
        <w:t>n caso de que los movimientos no se realicen en dicho lapso</w:t>
      </w:r>
      <w:r w:rsidR="00E76597">
        <w:rPr>
          <w:rFonts w:asciiTheme="minorHAnsi" w:hAnsiTheme="minorHAnsi"/>
        </w:rPr>
        <w:t xml:space="preserve">, pueden comunicarse </w:t>
      </w:r>
      <w:r>
        <w:rPr>
          <w:rFonts w:asciiTheme="minorHAnsi" w:hAnsiTheme="minorHAnsi"/>
        </w:rPr>
        <w:t xml:space="preserve">al correo: </w:t>
      </w:r>
      <w:bookmarkStart w:id="1" w:name="_Hlk512601395"/>
      <w:r w:rsidR="00185014">
        <w:fldChar w:fldCharType="begin"/>
      </w:r>
      <w:r w:rsidR="00185014">
        <w:instrText xml:space="preserve"> HYPERLINK "mailto:lsanchezga@poder-Judicial.go.cr" </w:instrText>
      </w:r>
      <w:r w:rsidR="00185014">
        <w:fldChar w:fldCharType="separate"/>
      </w:r>
      <w:r w:rsidRPr="000015C8">
        <w:rPr>
          <w:rStyle w:val="Hipervnculo"/>
          <w:rFonts w:asciiTheme="minorHAnsi" w:hAnsiTheme="minorHAnsi"/>
        </w:rPr>
        <w:t>lsanchezga@poder-Judicial.go.cr</w:t>
      </w:r>
      <w:r w:rsidR="00185014">
        <w:rPr>
          <w:rStyle w:val="Hipervnculo"/>
          <w:rFonts w:asciiTheme="minorHAnsi" w:hAnsiTheme="minorHAnsi"/>
        </w:rPr>
        <w:fldChar w:fldCharType="end"/>
      </w:r>
      <w:bookmarkEnd w:id="1"/>
      <w:r>
        <w:rPr>
          <w:rStyle w:val="Hipervnculo"/>
          <w:rFonts w:asciiTheme="minorHAnsi" w:hAnsiTheme="minorHAnsi"/>
          <w:u w:val="none"/>
        </w:rPr>
        <w:t xml:space="preserve"> </w:t>
      </w:r>
      <w:r w:rsidRPr="0096655E">
        <w:rPr>
          <w:rStyle w:val="Hipervnculo"/>
          <w:rFonts w:asciiTheme="minorHAnsi" w:hAnsiTheme="minorHAnsi"/>
          <w:color w:val="000000" w:themeColor="text1"/>
          <w:u w:val="none"/>
        </w:rPr>
        <w:t>para que se brinde el apoyo</w:t>
      </w:r>
      <w:r w:rsidR="00A45271">
        <w:rPr>
          <w:rStyle w:val="Hipervnculo"/>
          <w:rFonts w:asciiTheme="minorHAnsi" w:hAnsiTheme="minorHAnsi"/>
          <w:color w:val="000000" w:themeColor="text1"/>
          <w:u w:val="none"/>
        </w:rPr>
        <w:t xml:space="preserve"> y se realicen las gestiones necesarias para la actualización del SICA-PJ. </w:t>
      </w:r>
      <w:r w:rsidRPr="0096655E">
        <w:rPr>
          <w:rStyle w:val="Hipervnculo"/>
          <w:rFonts w:asciiTheme="minorHAnsi" w:hAnsiTheme="minorHAnsi"/>
          <w:color w:val="000000" w:themeColor="text1"/>
          <w:u w:val="none"/>
        </w:rPr>
        <w:t xml:space="preserve"> </w:t>
      </w:r>
    </w:p>
    <w:p w14:paraId="65FFA0BC" w14:textId="77777777" w:rsidR="00554B49" w:rsidRDefault="00554B49" w:rsidP="00A45271">
      <w:pPr>
        <w:ind w:right="697"/>
        <w:jc w:val="both"/>
        <w:rPr>
          <w:rFonts w:asciiTheme="minorHAnsi" w:hAnsiTheme="minorHAnsi"/>
        </w:rPr>
      </w:pPr>
    </w:p>
    <w:p w14:paraId="04E1AA7F" w14:textId="77777777" w:rsidR="00E85C53" w:rsidRDefault="00E76597" w:rsidP="00373CE5">
      <w:pPr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recomienda a cada</w:t>
      </w:r>
      <w:r w:rsidR="004C1334">
        <w:rPr>
          <w:rFonts w:asciiTheme="minorHAnsi" w:hAnsiTheme="minorHAnsi"/>
        </w:rPr>
        <w:t xml:space="preserve"> oficina judicial</w:t>
      </w:r>
      <w:r>
        <w:rPr>
          <w:rFonts w:asciiTheme="minorHAnsi" w:hAnsiTheme="minorHAnsi"/>
        </w:rPr>
        <w:t>,</w:t>
      </w:r>
      <w:r w:rsidR="004C1334">
        <w:rPr>
          <w:rFonts w:asciiTheme="minorHAnsi" w:hAnsiTheme="minorHAnsi"/>
        </w:rPr>
        <w:t xml:space="preserve"> designar como mínimo a un</w:t>
      </w:r>
      <w:r>
        <w:rPr>
          <w:rFonts w:asciiTheme="minorHAnsi" w:hAnsiTheme="minorHAnsi"/>
        </w:rPr>
        <w:t>a</w:t>
      </w:r>
      <w:r w:rsidR="004C13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persona encargada</w:t>
      </w:r>
      <w:r w:rsidR="004C1334">
        <w:rPr>
          <w:rFonts w:asciiTheme="minorHAnsi" w:hAnsiTheme="minorHAnsi"/>
        </w:rPr>
        <w:t xml:space="preserve"> para llenar los formularios de entrega de activos, así como de recibir los nuevos bienes que ingresan a</w:t>
      </w:r>
      <w:r>
        <w:rPr>
          <w:rFonts w:asciiTheme="minorHAnsi" w:hAnsiTheme="minorHAnsi"/>
        </w:rPr>
        <w:t>l despacho</w:t>
      </w:r>
      <w:r w:rsidR="00E85C53">
        <w:rPr>
          <w:rFonts w:asciiTheme="minorHAnsi" w:hAnsiTheme="minorHAnsi"/>
        </w:rPr>
        <w:t>,</w:t>
      </w:r>
      <w:r w:rsidR="004C1334">
        <w:rPr>
          <w:rFonts w:asciiTheme="minorHAnsi" w:hAnsiTheme="minorHAnsi"/>
        </w:rPr>
        <w:t xml:space="preserve"> lo anterior con la finalidad de mantener los registros actualizados en el SICA-PJ y controles </w:t>
      </w:r>
      <w:r>
        <w:rPr>
          <w:rFonts w:asciiTheme="minorHAnsi" w:hAnsiTheme="minorHAnsi"/>
        </w:rPr>
        <w:t>correspondientes.</w:t>
      </w:r>
      <w:r w:rsidR="004C1334">
        <w:rPr>
          <w:rFonts w:asciiTheme="minorHAnsi" w:hAnsiTheme="minorHAnsi"/>
        </w:rPr>
        <w:t xml:space="preserve"> </w:t>
      </w:r>
    </w:p>
    <w:p w14:paraId="6F0CD980" w14:textId="77777777" w:rsidR="00E85C53" w:rsidRDefault="00E85C53" w:rsidP="00373CE5">
      <w:pPr>
        <w:ind w:left="993" w:right="697"/>
        <w:jc w:val="both"/>
        <w:rPr>
          <w:rFonts w:asciiTheme="minorHAnsi" w:hAnsiTheme="minorHAnsi"/>
        </w:rPr>
      </w:pPr>
    </w:p>
    <w:p w14:paraId="1AC648AE" w14:textId="1F496986" w:rsidR="004660F7" w:rsidRDefault="00E76597" w:rsidP="00373CE5">
      <w:pPr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4C1334">
        <w:rPr>
          <w:rFonts w:asciiTheme="minorHAnsi" w:hAnsiTheme="minorHAnsi"/>
        </w:rPr>
        <w:t xml:space="preserve">n caso de que la oficina necesite solicitar un perfil de usuario </w:t>
      </w:r>
      <w:r w:rsidR="00BB3683">
        <w:rPr>
          <w:rFonts w:asciiTheme="minorHAnsi" w:hAnsiTheme="minorHAnsi"/>
        </w:rPr>
        <w:t xml:space="preserve">para consulta de movimientos </w:t>
      </w:r>
      <w:r w:rsidR="004C1334">
        <w:rPr>
          <w:rFonts w:asciiTheme="minorHAnsi" w:hAnsiTheme="minorHAnsi"/>
        </w:rPr>
        <w:t xml:space="preserve">en dicho sistema, deberán remitir un correo a la cuenta </w:t>
      </w:r>
      <w:hyperlink r:id="rId16" w:history="1">
        <w:r w:rsidR="004C1334" w:rsidRPr="00E728C7">
          <w:rPr>
            <w:rStyle w:val="Hipervnculo"/>
            <w:rFonts w:asciiTheme="minorHAnsi" w:hAnsiTheme="minorHAnsi"/>
          </w:rPr>
          <w:t>elopeza@poder-judicial.go.cr</w:t>
        </w:r>
      </w:hyperlink>
      <w:r w:rsidR="004C1334">
        <w:rPr>
          <w:rFonts w:asciiTheme="minorHAnsi" w:hAnsiTheme="minorHAnsi"/>
        </w:rPr>
        <w:t xml:space="preserve"> con copia a la cuenta </w:t>
      </w:r>
      <w:hyperlink r:id="rId17" w:history="1">
        <w:r w:rsidR="004C1334" w:rsidRPr="000015C8">
          <w:rPr>
            <w:rStyle w:val="Hipervnculo"/>
            <w:rFonts w:asciiTheme="minorHAnsi" w:hAnsiTheme="minorHAnsi"/>
          </w:rPr>
          <w:t>lsanchezga@poder-Judicial.go.cr</w:t>
        </w:r>
      </w:hyperlink>
      <w:r w:rsidR="00E85C53">
        <w:rPr>
          <w:rFonts w:asciiTheme="minorHAnsi" w:hAnsiTheme="minorHAnsi"/>
        </w:rPr>
        <w:t>.</w:t>
      </w:r>
      <w:r w:rsidR="004C1334">
        <w:rPr>
          <w:rFonts w:asciiTheme="minorHAnsi" w:hAnsiTheme="minorHAnsi"/>
        </w:rPr>
        <w:t xml:space="preserve"> </w:t>
      </w:r>
      <w:r w:rsidR="00E85C53">
        <w:rPr>
          <w:rFonts w:asciiTheme="minorHAnsi" w:hAnsiTheme="minorHAnsi"/>
        </w:rPr>
        <w:t>D</w:t>
      </w:r>
      <w:r w:rsidR="004C1334">
        <w:rPr>
          <w:rFonts w:asciiTheme="minorHAnsi" w:hAnsiTheme="minorHAnsi"/>
        </w:rPr>
        <w:t xml:space="preserve">icha solicitud </w:t>
      </w:r>
      <w:r w:rsidR="00A15886">
        <w:rPr>
          <w:rFonts w:asciiTheme="minorHAnsi" w:hAnsiTheme="minorHAnsi"/>
        </w:rPr>
        <w:t xml:space="preserve">la </w:t>
      </w:r>
      <w:r w:rsidR="004C1334">
        <w:rPr>
          <w:rFonts w:asciiTheme="minorHAnsi" w:hAnsiTheme="minorHAnsi"/>
        </w:rPr>
        <w:t>gestiona</w:t>
      </w:r>
      <w:r w:rsidR="00A15886">
        <w:rPr>
          <w:rFonts w:asciiTheme="minorHAnsi" w:hAnsiTheme="minorHAnsi"/>
        </w:rPr>
        <w:t>rá</w:t>
      </w:r>
      <w:r w:rsidR="004C1334">
        <w:rPr>
          <w:rFonts w:asciiTheme="minorHAnsi" w:hAnsiTheme="minorHAnsi"/>
        </w:rPr>
        <w:t xml:space="preserve"> la jefatura de la oficina interesada y </w:t>
      </w:r>
      <w:r w:rsidR="00BB3683">
        <w:rPr>
          <w:rFonts w:asciiTheme="minorHAnsi" w:hAnsiTheme="minorHAnsi"/>
        </w:rPr>
        <w:t xml:space="preserve">se </w:t>
      </w:r>
      <w:r w:rsidR="004C1334">
        <w:rPr>
          <w:rFonts w:asciiTheme="minorHAnsi" w:hAnsiTheme="minorHAnsi"/>
        </w:rPr>
        <w:t xml:space="preserve">debe indicar el nombre completo de la persona </w:t>
      </w:r>
      <w:r w:rsidR="00BB3683">
        <w:rPr>
          <w:rFonts w:asciiTheme="minorHAnsi" w:hAnsiTheme="minorHAnsi"/>
        </w:rPr>
        <w:t>que requiere</w:t>
      </w:r>
      <w:r w:rsidR="004C1334">
        <w:rPr>
          <w:rFonts w:asciiTheme="minorHAnsi" w:hAnsiTheme="minorHAnsi"/>
        </w:rPr>
        <w:t xml:space="preserve"> el perfil, </w:t>
      </w:r>
      <w:r w:rsidR="00BB3683">
        <w:rPr>
          <w:rFonts w:asciiTheme="minorHAnsi" w:hAnsiTheme="minorHAnsi"/>
        </w:rPr>
        <w:t xml:space="preserve">así como su </w:t>
      </w:r>
      <w:r w:rsidR="004C1334">
        <w:rPr>
          <w:rFonts w:asciiTheme="minorHAnsi" w:hAnsiTheme="minorHAnsi"/>
        </w:rPr>
        <w:t xml:space="preserve">usuario del Poder Judicial </w:t>
      </w:r>
      <w:r w:rsidR="00277784">
        <w:rPr>
          <w:rFonts w:asciiTheme="minorHAnsi" w:hAnsiTheme="minorHAnsi"/>
        </w:rPr>
        <w:t>y número de c</w:t>
      </w:r>
      <w:r w:rsidR="00BB3683">
        <w:rPr>
          <w:rFonts w:asciiTheme="minorHAnsi" w:hAnsiTheme="minorHAnsi"/>
        </w:rPr>
        <w:t>é</w:t>
      </w:r>
      <w:r w:rsidR="00277784">
        <w:rPr>
          <w:rFonts w:asciiTheme="minorHAnsi" w:hAnsiTheme="minorHAnsi"/>
        </w:rPr>
        <w:t xml:space="preserve">dula. </w:t>
      </w:r>
    </w:p>
    <w:p w14:paraId="43DF02C4" w14:textId="77777777" w:rsidR="00373CE5" w:rsidRDefault="00373CE5" w:rsidP="006632B0">
      <w:pPr>
        <w:ind w:right="697"/>
        <w:jc w:val="both"/>
        <w:rPr>
          <w:rFonts w:asciiTheme="minorHAnsi" w:hAnsiTheme="minorHAnsi"/>
        </w:rPr>
      </w:pPr>
    </w:p>
    <w:p w14:paraId="71D012F2" w14:textId="5393053C" w:rsidR="008225B2" w:rsidRDefault="00373CE5" w:rsidP="00373CE5">
      <w:pPr>
        <w:pBdr>
          <w:bottom w:val="single" w:sz="12" w:space="1" w:color="auto"/>
        </w:pBdr>
        <w:ind w:left="993" w:right="697"/>
        <w:jc w:val="both"/>
        <w:rPr>
          <w:rFonts w:asciiTheme="minorHAnsi" w:hAnsiTheme="minorHAnsi"/>
        </w:rPr>
      </w:pPr>
      <w:r w:rsidRPr="00BA686C">
        <w:rPr>
          <w:rFonts w:asciiTheme="minorHAnsi" w:hAnsiTheme="minorHAnsi"/>
        </w:rPr>
        <w:t xml:space="preserve">Cualquier consulta en relación con dicho trámite la pueden dirigir al compañero Luis Diego Sánchez García, quien atiende </w:t>
      </w:r>
      <w:r w:rsidR="00A45271">
        <w:rPr>
          <w:rFonts w:asciiTheme="minorHAnsi" w:hAnsiTheme="minorHAnsi"/>
        </w:rPr>
        <w:t xml:space="preserve">la extensión telefónica 01-3608 y </w:t>
      </w:r>
      <w:r w:rsidRPr="00BA686C">
        <w:rPr>
          <w:rFonts w:asciiTheme="minorHAnsi" w:hAnsiTheme="minorHAnsi"/>
        </w:rPr>
        <w:t xml:space="preserve">el correo: </w:t>
      </w:r>
      <w:hyperlink r:id="rId18" w:history="1">
        <w:r w:rsidR="008225B2" w:rsidRPr="003E3C39">
          <w:rPr>
            <w:rStyle w:val="Hipervnculo"/>
            <w:rFonts w:asciiTheme="minorHAnsi" w:hAnsiTheme="minorHAnsi"/>
          </w:rPr>
          <w:t>lsanchezga@poder-judicial.go.cr</w:t>
        </w:r>
      </w:hyperlink>
      <w:r w:rsidR="008225B2">
        <w:rPr>
          <w:rFonts w:asciiTheme="minorHAnsi" w:hAnsiTheme="minorHAnsi"/>
        </w:rPr>
        <w:t>.</w:t>
      </w:r>
    </w:p>
    <w:p w14:paraId="5D7A04F3" w14:textId="18178A14" w:rsidR="00373CE5" w:rsidRPr="00BA686C" w:rsidRDefault="00373CE5" w:rsidP="00373CE5">
      <w:pPr>
        <w:pBdr>
          <w:bottom w:val="single" w:sz="12" w:space="1" w:color="auto"/>
        </w:pBdr>
        <w:ind w:left="993" w:right="697"/>
        <w:jc w:val="both"/>
        <w:rPr>
          <w:rFonts w:asciiTheme="minorHAnsi" w:hAnsiTheme="minorHAnsi"/>
        </w:rPr>
      </w:pPr>
    </w:p>
    <w:p w14:paraId="2D1CBFC3" w14:textId="77777777" w:rsidR="00373CE5" w:rsidRPr="00796F35" w:rsidRDefault="00373CE5" w:rsidP="00373CE5">
      <w:pPr>
        <w:pBdr>
          <w:bottom w:val="single" w:sz="12" w:space="1" w:color="auto"/>
        </w:pBdr>
        <w:ind w:left="993" w:right="697"/>
        <w:jc w:val="both"/>
        <w:rPr>
          <w:rFonts w:asciiTheme="minorHAnsi" w:hAnsiTheme="minorHAnsi"/>
          <w:sz w:val="14"/>
        </w:rPr>
      </w:pPr>
    </w:p>
    <w:p w14:paraId="42F55B61" w14:textId="77777777" w:rsidR="00373CE5" w:rsidRPr="007F6681" w:rsidRDefault="00373CE5" w:rsidP="00373CE5">
      <w:pPr>
        <w:ind w:left="993" w:right="697"/>
        <w:rPr>
          <w:rFonts w:asciiTheme="minorHAnsi" w:hAnsiTheme="minorHAnsi"/>
          <w:sz w:val="16"/>
          <w:szCs w:val="16"/>
          <w:lang w:val="es-CR"/>
        </w:rPr>
      </w:pPr>
      <w:r w:rsidRPr="002B6857">
        <w:rPr>
          <w:rFonts w:ascii="Wingdings" w:hAnsi="Wingdings" w:cs="Wingdings"/>
          <w:szCs w:val="26"/>
          <w:lang w:val="es-CR"/>
        </w:rPr>
        <w:t></w:t>
      </w:r>
      <w:r w:rsidRPr="007F6681">
        <w:rPr>
          <w:rFonts w:asciiTheme="minorHAnsi" w:hAnsiTheme="minorHAnsi"/>
          <w:b/>
          <w:sz w:val="16"/>
          <w:szCs w:val="16"/>
          <w:lang w:val="es-CR"/>
        </w:rPr>
        <w:t>Elaborado por:</w:t>
      </w:r>
      <w:r w:rsidRPr="007F6681">
        <w:rPr>
          <w:rFonts w:asciiTheme="minorHAnsi" w:hAnsiTheme="minorHAnsi"/>
          <w:sz w:val="16"/>
          <w:szCs w:val="16"/>
          <w:lang w:val="es-CR"/>
        </w:rPr>
        <w:t xml:space="preserve"> Lic. Luis Diego Sánchez García.</w:t>
      </w:r>
    </w:p>
    <w:p w14:paraId="20B638DF" w14:textId="5B083F1E" w:rsidR="00373CE5" w:rsidRPr="00796F35" w:rsidRDefault="00373CE5" w:rsidP="00796F35">
      <w:pPr>
        <w:pStyle w:val="WW-Predeterminado1"/>
        <w:ind w:left="993" w:right="697"/>
        <w:rPr>
          <w:rFonts w:asciiTheme="minorHAnsi" w:hAnsiTheme="minorHAnsi"/>
          <w:sz w:val="14"/>
          <w:szCs w:val="16"/>
          <w:lang w:val="es-CR"/>
        </w:rPr>
      </w:pPr>
      <w:r w:rsidRPr="002B6857">
        <w:rPr>
          <w:rFonts w:ascii="Wingdings" w:hAnsi="Wingdings" w:cs="Wingdings"/>
          <w:sz w:val="16"/>
          <w:szCs w:val="26"/>
          <w:lang w:val="es-CR"/>
        </w:rPr>
        <w:t></w:t>
      </w:r>
      <w:r w:rsidRPr="002B6857">
        <w:rPr>
          <w:sz w:val="10"/>
          <w:szCs w:val="16"/>
          <w:lang w:val="es-CR"/>
        </w:rPr>
        <w:t xml:space="preserve"> </w:t>
      </w:r>
      <w:r w:rsidRPr="007F6681">
        <w:rPr>
          <w:rFonts w:asciiTheme="minorHAnsi" w:hAnsiTheme="minorHAnsi"/>
          <w:b/>
          <w:sz w:val="16"/>
          <w:szCs w:val="16"/>
          <w:lang w:val="es-CR"/>
        </w:rPr>
        <w:t>Diligencias:</w:t>
      </w:r>
      <w:r w:rsidRPr="007F6681">
        <w:rPr>
          <w:rFonts w:asciiTheme="minorHAnsi" w:hAnsiTheme="minorHAnsi"/>
          <w:sz w:val="16"/>
          <w:szCs w:val="16"/>
          <w:lang w:val="es-CR"/>
        </w:rPr>
        <w:t xml:space="preserve"> </w:t>
      </w:r>
      <w:r w:rsidRPr="007F6681">
        <w:rPr>
          <w:rFonts w:asciiTheme="minorHAnsi" w:hAnsiTheme="minorHAnsi" w:cs="Times New Roman"/>
          <w:sz w:val="16"/>
          <w:szCs w:val="16"/>
          <w:lang w:val="es-CR" w:eastAsia="es-ES"/>
        </w:rPr>
        <w:t>Proceso de Administración de Bienes.</w:t>
      </w:r>
    </w:p>
    <w:sectPr w:rsidR="00373CE5" w:rsidRPr="00796F35" w:rsidSect="002346E7">
      <w:pgSz w:w="11906" w:h="16838"/>
      <w:pgMar w:top="284" w:right="1133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4DB1"/>
    <w:multiLevelType w:val="hybridMultilevel"/>
    <w:tmpl w:val="D3888538"/>
    <w:lvl w:ilvl="0" w:tplc="140A0011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433" w:hanging="360"/>
      </w:pPr>
    </w:lvl>
    <w:lvl w:ilvl="2" w:tplc="140A001B" w:tentative="1">
      <w:start w:val="1"/>
      <w:numFmt w:val="lowerRoman"/>
      <w:lvlText w:val="%3."/>
      <w:lvlJc w:val="right"/>
      <w:pPr>
        <w:ind w:left="3153" w:hanging="180"/>
      </w:pPr>
    </w:lvl>
    <w:lvl w:ilvl="3" w:tplc="140A000F" w:tentative="1">
      <w:start w:val="1"/>
      <w:numFmt w:val="decimal"/>
      <w:lvlText w:val="%4."/>
      <w:lvlJc w:val="left"/>
      <w:pPr>
        <w:ind w:left="3873" w:hanging="360"/>
      </w:pPr>
    </w:lvl>
    <w:lvl w:ilvl="4" w:tplc="140A0019" w:tentative="1">
      <w:start w:val="1"/>
      <w:numFmt w:val="lowerLetter"/>
      <w:lvlText w:val="%5."/>
      <w:lvlJc w:val="left"/>
      <w:pPr>
        <w:ind w:left="4593" w:hanging="360"/>
      </w:pPr>
    </w:lvl>
    <w:lvl w:ilvl="5" w:tplc="140A001B" w:tentative="1">
      <w:start w:val="1"/>
      <w:numFmt w:val="lowerRoman"/>
      <w:lvlText w:val="%6."/>
      <w:lvlJc w:val="right"/>
      <w:pPr>
        <w:ind w:left="5313" w:hanging="180"/>
      </w:pPr>
    </w:lvl>
    <w:lvl w:ilvl="6" w:tplc="140A000F" w:tentative="1">
      <w:start w:val="1"/>
      <w:numFmt w:val="decimal"/>
      <w:lvlText w:val="%7."/>
      <w:lvlJc w:val="left"/>
      <w:pPr>
        <w:ind w:left="6033" w:hanging="360"/>
      </w:pPr>
    </w:lvl>
    <w:lvl w:ilvl="7" w:tplc="140A0019" w:tentative="1">
      <w:start w:val="1"/>
      <w:numFmt w:val="lowerLetter"/>
      <w:lvlText w:val="%8."/>
      <w:lvlJc w:val="left"/>
      <w:pPr>
        <w:ind w:left="6753" w:hanging="360"/>
      </w:pPr>
    </w:lvl>
    <w:lvl w:ilvl="8" w:tplc="1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A3C1382"/>
    <w:multiLevelType w:val="hybridMultilevel"/>
    <w:tmpl w:val="4B6E3AB6"/>
    <w:lvl w:ilvl="0" w:tplc="1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7E71FE8"/>
    <w:multiLevelType w:val="hybridMultilevel"/>
    <w:tmpl w:val="DC927E6A"/>
    <w:lvl w:ilvl="0" w:tplc="140A0017">
      <w:start w:val="1"/>
      <w:numFmt w:val="lowerLetter"/>
      <w:lvlText w:val="%1)"/>
      <w:lvlJc w:val="left"/>
      <w:pPr>
        <w:ind w:left="1713" w:hanging="360"/>
      </w:pPr>
    </w:lvl>
    <w:lvl w:ilvl="1" w:tplc="140A0019" w:tentative="1">
      <w:start w:val="1"/>
      <w:numFmt w:val="lowerLetter"/>
      <w:lvlText w:val="%2."/>
      <w:lvlJc w:val="left"/>
      <w:pPr>
        <w:ind w:left="2433" w:hanging="360"/>
      </w:pPr>
    </w:lvl>
    <w:lvl w:ilvl="2" w:tplc="140A001B" w:tentative="1">
      <w:start w:val="1"/>
      <w:numFmt w:val="lowerRoman"/>
      <w:lvlText w:val="%3."/>
      <w:lvlJc w:val="right"/>
      <w:pPr>
        <w:ind w:left="3153" w:hanging="180"/>
      </w:pPr>
    </w:lvl>
    <w:lvl w:ilvl="3" w:tplc="140A000F" w:tentative="1">
      <w:start w:val="1"/>
      <w:numFmt w:val="decimal"/>
      <w:lvlText w:val="%4."/>
      <w:lvlJc w:val="left"/>
      <w:pPr>
        <w:ind w:left="3873" w:hanging="360"/>
      </w:pPr>
    </w:lvl>
    <w:lvl w:ilvl="4" w:tplc="140A0019" w:tentative="1">
      <w:start w:val="1"/>
      <w:numFmt w:val="lowerLetter"/>
      <w:lvlText w:val="%5."/>
      <w:lvlJc w:val="left"/>
      <w:pPr>
        <w:ind w:left="4593" w:hanging="360"/>
      </w:pPr>
    </w:lvl>
    <w:lvl w:ilvl="5" w:tplc="140A001B" w:tentative="1">
      <w:start w:val="1"/>
      <w:numFmt w:val="lowerRoman"/>
      <w:lvlText w:val="%6."/>
      <w:lvlJc w:val="right"/>
      <w:pPr>
        <w:ind w:left="5313" w:hanging="180"/>
      </w:pPr>
    </w:lvl>
    <w:lvl w:ilvl="6" w:tplc="140A000F" w:tentative="1">
      <w:start w:val="1"/>
      <w:numFmt w:val="decimal"/>
      <w:lvlText w:val="%7."/>
      <w:lvlJc w:val="left"/>
      <w:pPr>
        <w:ind w:left="6033" w:hanging="360"/>
      </w:pPr>
    </w:lvl>
    <w:lvl w:ilvl="7" w:tplc="140A0019" w:tentative="1">
      <w:start w:val="1"/>
      <w:numFmt w:val="lowerLetter"/>
      <w:lvlText w:val="%8."/>
      <w:lvlJc w:val="left"/>
      <w:pPr>
        <w:ind w:left="6753" w:hanging="360"/>
      </w:pPr>
    </w:lvl>
    <w:lvl w:ilvl="8" w:tplc="1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792C4CEE"/>
    <w:multiLevelType w:val="hybridMultilevel"/>
    <w:tmpl w:val="199496CE"/>
    <w:lvl w:ilvl="0" w:tplc="1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E5"/>
    <w:rsid w:val="0002062B"/>
    <w:rsid w:val="000E13E7"/>
    <w:rsid w:val="001020D9"/>
    <w:rsid w:val="001736D7"/>
    <w:rsid w:val="00185014"/>
    <w:rsid w:val="00212AD1"/>
    <w:rsid w:val="00256EA9"/>
    <w:rsid w:val="00277784"/>
    <w:rsid w:val="00354360"/>
    <w:rsid w:val="00373CE5"/>
    <w:rsid w:val="00375A3C"/>
    <w:rsid w:val="003B35D4"/>
    <w:rsid w:val="003D48D8"/>
    <w:rsid w:val="00465AE2"/>
    <w:rsid w:val="004660F7"/>
    <w:rsid w:val="004C1334"/>
    <w:rsid w:val="00554B49"/>
    <w:rsid w:val="005B2B8F"/>
    <w:rsid w:val="005E54D1"/>
    <w:rsid w:val="00645F23"/>
    <w:rsid w:val="00656D0C"/>
    <w:rsid w:val="006632B0"/>
    <w:rsid w:val="006A6D5F"/>
    <w:rsid w:val="006D4A52"/>
    <w:rsid w:val="006D751B"/>
    <w:rsid w:val="006F0AFE"/>
    <w:rsid w:val="006F45B2"/>
    <w:rsid w:val="00796F35"/>
    <w:rsid w:val="007A3F25"/>
    <w:rsid w:val="007B565F"/>
    <w:rsid w:val="008225B2"/>
    <w:rsid w:val="00903F4B"/>
    <w:rsid w:val="0093208E"/>
    <w:rsid w:val="009423DC"/>
    <w:rsid w:val="009642E2"/>
    <w:rsid w:val="0096655E"/>
    <w:rsid w:val="009F18E0"/>
    <w:rsid w:val="00A15886"/>
    <w:rsid w:val="00A358FD"/>
    <w:rsid w:val="00A45271"/>
    <w:rsid w:val="00A83640"/>
    <w:rsid w:val="00BB3683"/>
    <w:rsid w:val="00C51B0F"/>
    <w:rsid w:val="00CA4F6B"/>
    <w:rsid w:val="00CC11D6"/>
    <w:rsid w:val="00DA1A00"/>
    <w:rsid w:val="00DB5BAF"/>
    <w:rsid w:val="00DD5636"/>
    <w:rsid w:val="00E206C7"/>
    <w:rsid w:val="00E43ED6"/>
    <w:rsid w:val="00E51F46"/>
    <w:rsid w:val="00E619C6"/>
    <w:rsid w:val="00E76597"/>
    <w:rsid w:val="00E85C53"/>
    <w:rsid w:val="00EB2C62"/>
    <w:rsid w:val="00F60C94"/>
    <w:rsid w:val="00FA0E5C"/>
    <w:rsid w:val="00FD6EB7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05B"/>
  <w15:chartTrackingRefBased/>
  <w15:docId w15:val="{6693DD55-56F0-40E3-AFEB-DE22A341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73CE5"/>
    <w:rPr>
      <w:color w:val="0000FF"/>
      <w:u w:val="single"/>
    </w:rPr>
  </w:style>
  <w:style w:type="paragraph" w:customStyle="1" w:styleId="WW-Predeterminado1">
    <w:name w:val="WW-Predeterminado1"/>
    <w:next w:val="Normal"/>
    <w:uiPriority w:val="99"/>
    <w:rsid w:val="00373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CR"/>
    </w:rPr>
  </w:style>
  <w:style w:type="paragraph" w:styleId="Prrafodelista">
    <w:name w:val="List Paragraph"/>
    <w:basedOn w:val="Normal"/>
    <w:uiPriority w:val="34"/>
    <w:qFormat/>
    <w:rsid w:val="00373CE5"/>
    <w:pPr>
      <w:ind w:left="720"/>
      <w:contextualSpacing/>
    </w:pPr>
  </w:style>
  <w:style w:type="paragraph" w:customStyle="1" w:styleId="section1">
    <w:name w:val="section1"/>
    <w:basedOn w:val="Normal"/>
    <w:uiPriority w:val="99"/>
    <w:rsid w:val="005E54D1"/>
    <w:pPr>
      <w:spacing w:before="100" w:beforeAutospacing="1" w:after="100" w:afterAutospacing="1"/>
    </w:pPr>
    <w:rPr>
      <w:rFonts w:eastAsia="Calibri"/>
      <w:lang w:val="es-CR" w:eastAsia="es-C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60F7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A83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6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64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64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640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642E2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51F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nchezga@poder-judicial.go.cr" TargetMode="External"/><Relationship Id="rId13" Type="http://schemas.openxmlformats.org/officeDocument/2006/relationships/hyperlink" Target="mailto:reparaciones@poder-judicial.go.cr" TargetMode="External"/><Relationship Id="rId18" Type="http://schemas.openxmlformats.org/officeDocument/2006/relationships/hyperlink" Target="mailto:lsanchezga@poder-judicial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tivospj@poder-Judicial.go.cr" TargetMode="External"/><Relationship Id="rId12" Type="http://schemas.openxmlformats.org/officeDocument/2006/relationships/hyperlink" Target="mailto:computo-prove@Poder-Judicial.go.cr" TargetMode="External"/><Relationship Id="rId17" Type="http://schemas.openxmlformats.org/officeDocument/2006/relationships/hyperlink" Target="mailto:lsanchezga@poder-Judicial.go.cr" TargetMode="External"/><Relationship Id="rId2" Type="http://schemas.openxmlformats.org/officeDocument/2006/relationships/styles" Target="styles.xml"/><Relationship Id="rId16" Type="http://schemas.openxmlformats.org/officeDocument/2006/relationships/hyperlink" Target="mailto:elopeza@poder-judicial.go.c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ove-control@poder-judicial.go.c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sanchezga@poder-Judicial.go.cr" TargetMode="External"/><Relationship Id="rId10" Type="http://schemas.openxmlformats.org/officeDocument/2006/relationships/hyperlink" Target="mailto:bod-computo@poder-judicial.go.c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tivospj@poder-Judicial.go.cr" TargetMode="External"/><Relationship Id="rId14" Type="http://schemas.openxmlformats.org/officeDocument/2006/relationships/hyperlink" Target="mailto:elopeza@poder-Judicial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Diego Sánchez García</dc:creator>
  <cp:keywords/>
  <dc:description/>
  <cp:lastModifiedBy>Farine Monge Salas</cp:lastModifiedBy>
  <cp:revision>2</cp:revision>
  <dcterms:created xsi:type="dcterms:W3CDTF">2018-05-03T13:54:00Z</dcterms:created>
  <dcterms:modified xsi:type="dcterms:W3CDTF">2018-05-03T13:54:00Z</dcterms:modified>
</cp:coreProperties>
</file>