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37" w:rsidRPr="002B6857" w:rsidRDefault="000427B2" w:rsidP="002346E7">
      <w:pPr>
        <w:autoSpaceDE w:val="0"/>
        <w:autoSpaceDN w:val="0"/>
        <w:adjustRightInd w:val="0"/>
        <w:ind w:left="567" w:right="697" w:firstLine="567"/>
        <w:jc w:val="center"/>
        <w:rPr>
          <w:rFonts w:ascii="Arial" w:hAnsi="Arial"/>
          <w:b/>
          <w:sz w:val="22"/>
        </w:rPr>
      </w:pPr>
      <w:r w:rsidRPr="002B6857">
        <w:rPr>
          <w:noProof/>
          <w:sz w:val="22"/>
          <w:lang w:val="es-CR" w:eastAsia="es-CR"/>
        </w:rPr>
        <w:drawing>
          <wp:anchor distT="0" distB="0" distL="114300" distR="114300" simplePos="0" relativeHeight="251659264" behindDoc="0" locked="0" layoutInCell="1" allowOverlap="1" wp14:anchorId="3C6F2B0A" wp14:editId="0FD2E3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3880" cy="632460"/>
            <wp:effectExtent l="0" t="0" r="7620" b="0"/>
            <wp:wrapSquare wrapText="bothSides"/>
            <wp:docPr id="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7B2" w:rsidRDefault="000427B2" w:rsidP="002346E7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</w:p>
    <w:p w:rsidR="000427B2" w:rsidRDefault="000427B2" w:rsidP="002346E7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</w:p>
    <w:p w:rsidR="000427B2" w:rsidRDefault="000427B2" w:rsidP="002346E7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</w:p>
    <w:p w:rsidR="000427B2" w:rsidRPr="002B6857" w:rsidRDefault="000427B2" w:rsidP="002346E7">
      <w:pPr>
        <w:autoSpaceDE w:val="0"/>
        <w:autoSpaceDN w:val="0"/>
        <w:adjustRightInd w:val="0"/>
        <w:ind w:left="567" w:right="697" w:firstLine="567"/>
        <w:rPr>
          <w:b/>
          <w:sz w:val="22"/>
        </w:rPr>
      </w:pPr>
    </w:p>
    <w:p w:rsidR="000427B2" w:rsidRPr="007F6681" w:rsidRDefault="000427B2" w:rsidP="002346E7">
      <w:pPr>
        <w:autoSpaceDE w:val="0"/>
        <w:autoSpaceDN w:val="0"/>
        <w:adjustRightInd w:val="0"/>
        <w:ind w:left="567" w:right="697" w:firstLine="567"/>
        <w:jc w:val="center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>PODER JUDICIAL</w:t>
      </w:r>
    </w:p>
    <w:p w:rsidR="000427B2" w:rsidRPr="000427B2" w:rsidRDefault="000427B2" w:rsidP="002346E7">
      <w:pPr>
        <w:autoSpaceDE w:val="0"/>
        <w:autoSpaceDN w:val="0"/>
        <w:adjustRightInd w:val="0"/>
        <w:ind w:left="567" w:right="697" w:firstLine="567"/>
        <w:jc w:val="center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>DEPARTAMENTO DE PROVEEDURÍA</w:t>
      </w:r>
    </w:p>
    <w:p w:rsidR="004D6D37" w:rsidRPr="007F6681" w:rsidRDefault="004D6D37" w:rsidP="002346E7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  <w:r w:rsidRPr="007F6681">
        <w:rPr>
          <w:rFonts w:asciiTheme="minorHAnsi" w:hAnsiTheme="minorHAnsi"/>
          <w:sz w:val="18"/>
          <w:u w:val="single"/>
        </w:rPr>
        <w:t xml:space="preserve">                                 </w:t>
      </w:r>
      <w:r w:rsidRPr="007F6681">
        <w:rPr>
          <w:rFonts w:asciiTheme="minorHAnsi" w:hAnsiTheme="minorHAnsi"/>
          <w:sz w:val="18"/>
          <w:u w:val="single"/>
        </w:rPr>
        <w:tab/>
        <w:t xml:space="preserve">  </w:t>
      </w:r>
    </w:p>
    <w:p w:rsidR="000300A1" w:rsidRPr="007F6681" w:rsidRDefault="000300A1" w:rsidP="00F17C41">
      <w:pPr>
        <w:rPr>
          <w:rFonts w:asciiTheme="minorHAnsi" w:hAnsiTheme="minorHAnsi"/>
        </w:rPr>
      </w:pPr>
    </w:p>
    <w:p w:rsidR="007677FC" w:rsidRPr="007F6681" w:rsidRDefault="009C445E" w:rsidP="000300A1">
      <w:pPr>
        <w:ind w:left="1418" w:hanging="1418"/>
        <w:jc w:val="center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>Circular</w:t>
      </w:r>
      <w:r w:rsidR="00E7424D" w:rsidRPr="007F6681">
        <w:rPr>
          <w:rFonts w:asciiTheme="minorHAnsi" w:hAnsiTheme="minorHAnsi" w:cs="Arial"/>
          <w:b/>
        </w:rPr>
        <w:t xml:space="preserve"> </w:t>
      </w:r>
      <w:r w:rsidR="00E7424D" w:rsidRPr="00A74D40">
        <w:rPr>
          <w:rFonts w:asciiTheme="minorHAnsi" w:hAnsiTheme="minorHAnsi" w:cs="Arial"/>
          <w:b/>
        </w:rPr>
        <w:t>No.</w:t>
      </w:r>
      <w:r w:rsidRPr="00A74D40">
        <w:rPr>
          <w:rFonts w:asciiTheme="minorHAnsi" w:hAnsiTheme="minorHAnsi" w:cs="Arial"/>
          <w:b/>
        </w:rPr>
        <w:t xml:space="preserve"> </w:t>
      </w:r>
      <w:r w:rsidR="00225DDD">
        <w:rPr>
          <w:rFonts w:asciiTheme="minorHAnsi" w:hAnsiTheme="minorHAnsi" w:cs="Arial"/>
          <w:b/>
        </w:rPr>
        <w:t>15</w:t>
      </w:r>
      <w:r w:rsidR="00122823" w:rsidRPr="00A74D40">
        <w:rPr>
          <w:rFonts w:asciiTheme="minorHAnsi" w:hAnsiTheme="minorHAnsi" w:cs="Arial"/>
          <w:b/>
        </w:rPr>
        <w:t>-2018</w:t>
      </w:r>
    </w:p>
    <w:p w:rsidR="007677FC" w:rsidRPr="007F6681" w:rsidRDefault="007677FC" w:rsidP="00725E33">
      <w:pPr>
        <w:ind w:left="1418" w:hanging="425"/>
        <w:jc w:val="center"/>
        <w:rPr>
          <w:rFonts w:asciiTheme="minorHAnsi" w:hAnsiTheme="minorHAnsi"/>
          <w:sz w:val="28"/>
        </w:rPr>
      </w:pPr>
    </w:p>
    <w:p w:rsidR="000300A1" w:rsidRPr="007F6681" w:rsidRDefault="000300A1" w:rsidP="00725E33">
      <w:pPr>
        <w:ind w:left="1418" w:hanging="425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 xml:space="preserve">De:        </w:t>
      </w:r>
      <w:r w:rsidR="00772C46" w:rsidRPr="007F6681">
        <w:rPr>
          <w:rFonts w:asciiTheme="minorHAnsi" w:hAnsiTheme="minorHAnsi" w:cs="Arial"/>
          <w:b/>
        </w:rPr>
        <w:tab/>
      </w:r>
      <w:r w:rsidR="00056DC2">
        <w:rPr>
          <w:rFonts w:asciiTheme="minorHAnsi" w:hAnsiTheme="minorHAnsi" w:cs="Arial"/>
          <w:b/>
        </w:rPr>
        <w:t>MBA</w:t>
      </w:r>
      <w:r w:rsidR="00D4327D" w:rsidRPr="007F6681">
        <w:rPr>
          <w:rFonts w:asciiTheme="minorHAnsi" w:hAnsiTheme="minorHAnsi" w:cs="Arial"/>
          <w:b/>
        </w:rPr>
        <w:t xml:space="preserve">.  </w:t>
      </w:r>
      <w:r w:rsidR="00056DC2">
        <w:rPr>
          <w:rFonts w:asciiTheme="minorHAnsi" w:hAnsiTheme="minorHAnsi" w:cs="Arial"/>
          <w:b/>
        </w:rPr>
        <w:t>Hellen Poveda Montoya</w:t>
      </w:r>
    </w:p>
    <w:p w:rsidR="000300A1" w:rsidRPr="007F6681" w:rsidRDefault="000300A1" w:rsidP="00725E33">
      <w:pPr>
        <w:ind w:left="1418" w:hanging="425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 xml:space="preserve">              </w:t>
      </w:r>
      <w:r w:rsidR="00772C46" w:rsidRPr="007F6681">
        <w:rPr>
          <w:rFonts w:asciiTheme="minorHAnsi" w:hAnsiTheme="minorHAnsi" w:cs="Arial"/>
          <w:b/>
        </w:rPr>
        <w:tab/>
      </w:r>
      <w:r w:rsidR="005507D5" w:rsidRPr="007F6681">
        <w:rPr>
          <w:rFonts w:asciiTheme="minorHAnsi" w:hAnsiTheme="minorHAnsi" w:cs="Arial"/>
          <w:b/>
        </w:rPr>
        <w:t>Jef</w:t>
      </w:r>
      <w:r w:rsidR="00056DC2">
        <w:rPr>
          <w:rFonts w:asciiTheme="minorHAnsi" w:hAnsiTheme="minorHAnsi" w:cs="Arial"/>
          <w:b/>
        </w:rPr>
        <w:t>a</w:t>
      </w:r>
      <w:r w:rsidR="005507D5" w:rsidRPr="007F6681">
        <w:rPr>
          <w:rFonts w:asciiTheme="minorHAnsi" w:hAnsiTheme="minorHAnsi" w:cs="Arial"/>
          <w:b/>
        </w:rPr>
        <w:t xml:space="preserve"> </w:t>
      </w:r>
      <w:proofErr w:type="spellStart"/>
      <w:r w:rsidR="005507D5" w:rsidRPr="007F6681">
        <w:rPr>
          <w:rFonts w:asciiTheme="minorHAnsi" w:hAnsiTheme="minorHAnsi" w:cs="Arial"/>
          <w:b/>
        </w:rPr>
        <w:t>a.í</w:t>
      </w:r>
      <w:proofErr w:type="spellEnd"/>
      <w:r w:rsidR="005507D5" w:rsidRPr="007F6681">
        <w:rPr>
          <w:rFonts w:asciiTheme="minorHAnsi" w:hAnsiTheme="minorHAnsi" w:cs="Arial"/>
          <w:b/>
        </w:rPr>
        <w:t>.</w:t>
      </w:r>
      <w:r w:rsidRPr="007F6681">
        <w:rPr>
          <w:rFonts w:asciiTheme="minorHAnsi" w:hAnsiTheme="minorHAnsi" w:cs="Arial"/>
          <w:b/>
        </w:rPr>
        <w:t xml:space="preserve"> Departamento de Proveeduría</w:t>
      </w:r>
    </w:p>
    <w:p w:rsidR="000300A1" w:rsidRPr="007F6681" w:rsidRDefault="000300A1" w:rsidP="00725E33">
      <w:pPr>
        <w:ind w:left="1418" w:hanging="425"/>
        <w:rPr>
          <w:rFonts w:asciiTheme="minorHAnsi" w:hAnsiTheme="minorHAnsi" w:cs="Arial"/>
          <w:b/>
        </w:rPr>
      </w:pPr>
    </w:p>
    <w:p w:rsidR="000300A1" w:rsidRPr="007F6681" w:rsidRDefault="000300A1" w:rsidP="00725E33">
      <w:pPr>
        <w:ind w:left="2121" w:hanging="1136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>Para:    </w:t>
      </w:r>
      <w:r w:rsidR="00772C46" w:rsidRPr="007F6681">
        <w:rPr>
          <w:rFonts w:asciiTheme="minorHAnsi" w:hAnsiTheme="minorHAnsi" w:cs="Arial"/>
          <w:b/>
        </w:rPr>
        <w:tab/>
      </w:r>
      <w:r w:rsidR="00F91E43">
        <w:rPr>
          <w:rFonts w:asciiTheme="minorHAnsi" w:hAnsiTheme="minorHAnsi" w:cs="Arial"/>
          <w:b/>
        </w:rPr>
        <w:t xml:space="preserve">Oficinas </w:t>
      </w:r>
      <w:r w:rsidR="00225DDD">
        <w:rPr>
          <w:rFonts w:asciiTheme="minorHAnsi" w:hAnsiTheme="minorHAnsi" w:cs="Arial"/>
          <w:b/>
        </w:rPr>
        <w:t>Judiciales</w:t>
      </w:r>
      <w:r w:rsidR="00F91E43">
        <w:rPr>
          <w:rFonts w:asciiTheme="minorHAnsi" w:hAnsiTheme="minorHAnsi" w:cs="Arial"/>
          <w:b/>
        </w:rPr>
        <w:t xml:space="preserve"> de</w:t>
      </w:r>
      <w:r w:rsidR="00225DDD">
        <w:rPr>
          <w:rFonts w:asciiTheme="minorHAnsi" w:hAnsiTheme="minorHAnsi" w:cs="Arial"/>
          <w:b/>
        </w:rPr>
        <w:t xml:space="preserve"> todo el país. </w:t>
      </w:r>
      <w:r w:rsidR="00F91E43">
        <w:rPr>
          <w:rFonts w:asciiTheme="minorHAnsi" w:hAnsiTheme="minorHAnsi" w:cs="Arial"/>
          <w:b/>
        </w:rPr>
        <w:t xml:space="preserve"> </w:t>
      </w:r>
    </w:p>
    <w:p w:rsidR="000300A1" w:rsidRPr="007F6681" w:rsidRDefault="00821623" w:rsidP="00725E33">
      <w:pPr>
        <w:ind w:left="1410" w:hanging="425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ab/>
      </w:r>
    </w:p>
    <w:p w:rsidR="00F62B76" w:rsidRPr="007F4D04" w:rsidRDefault="000300A1" w:rsidP="007F4D04">
      <w:pPr>
        <w:ind w:left="2121" w:hanging="1128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 xml:space="preserve">Asunto: </w:t>
      </w:r>
      <w:r w:rsidR="00772C46" w:rsidRPr="007F6681">
        <w:rPr>
          <w:rFonts w:asciiTheme="minorHAnsi" w:hAnsiTheme="minorHAnsi" w:cs="Arial"/>
          <w:b/>
        </w:rPr>
        <w:tab/>
      </w:r>
      <w:bookmarkStart w:id="0" w:name="_GoBack"/>
      <w:r w:rsidR="00A24A46">
        <w:rPr>
          <w:rFonts w:asciiTheme="minorHAnsi" w:hAnsiTheme="minorHAnsi" w:cs="Arial"/>
          <w:b/>
        </w:rPr>
        <w:t xml:space="preserve">Procedimiento para la recepción de </w:t>
      </w:r>
      <w:r w:rsidR="00F41A0A">
        <w:rPr>
          <w:rFonts w:asciiTheme="minorHAnsi" w:hAnsiTheme="minorHAnsi" w:cs="Arial"/>
          <w:b/>
        </w:rPr>
        <w:t>d</w:t>
      </w:r>
      <w:r w:rsidR="008D1B40">
        <w:rPr>
          <w:rFonts w:asciiTheme="minorHAnsi" w:hAnsiTheme="minorHAnsi" w:cs="Arial"/>
          <w:b/>
        </w:rPr>
        <w:t xml:space="preserve">onaciones </w:t>
      </w:r>
      <w:r w:rsidR="00A24A46">
        <w:rPr>
          <w:rFonts w:asciiTheme="minorHAnsi" w:hAnsiTheme="minorHAnsi" w:cs="Arial"/>
          <w:b/>
        </w:rPr>
        <w:t xml:space="preserve">de activos al Poder Judicial y su registro </w:t>
      </w:r>
      <w:r w:rsidR="008D1B40">
        <w:rPr>
          <w:rFonts w:asciiTheme="minorHAnsi" w:hAnsiTheme="minorHAnsi" w:cs="Arial"/>
          <w:b/>
        </w:rPr>
        <w:t>en el SIG</w:t>
      </w:r>
      <w:r w:rsidR="007F4D04">
        <w:rPr>
          <w:rFonts w:asciiTheme="minorHAnsi" w:hAnsiTheme="minorHAnsi" w:cs="Arial"/>
          <w:b/>
        </w:rPr>
        <w:t>A-PJ</w:t>
      </w:r>
      <w:r w:rsidR="008D1B40">
        <w:rPr>
          <w:rFonts w:asciiTheme="minorHAnsi" w:hAnsiTheme="minorHAnsi" w:cs="Arial"/>
          <w:b/>
        </w:rPr>
        <w:t xml:space="preserve"> y SICA-PJ</w:t>
      </w:r>
      <w:bookmarkEnd w:id="0"/>
      <w:r w:rsidR="007F4D04">
        <w:rPr>
          <w:rFonts w:asciiTheme="minorHAnsi" w:hAnsiTheme="minorHAnsi" w:cs="Arial"/>
          <w:b/>
        </w:rPr>
        <w:t xml:space="preserve">.   </w:t>
      </w:r>
    </w:p>
    <w:p w:rsidR="00167CB8" w:rsidRPr="007F6681" w:rsidRDefault="00167CB8" w:rsidP="00167CB8">
      <w:pPr>
        <w:ind w:left="2121" w:hanging="1128"/>
        <w:rPr>
          <w:rFonts w:asciiTheme="minorHAnsi" w:hAnsiTheme="minorHAnsi"/>
          <w:b/>
        </w:rPr>
      </w:pPr>
    </w:p>
    <w:p w:rsidR="000300A1" w:rsidRPr="007F6681" w:rsidRDefault="000300A1" w:rsidP="00DE62A8">
      <w:pPr>
        <w:ind w:left="1418" w:hanging="425"/>
        <w:rPr>
          <w:rFonts w:asciiTheme="minorHAnsi" w:hAnsiTheme="minorHAnsi"/>
          <w:b/>
        </w:rPr>
      </w:pPr>
      <w:r w:rsidRPr="007F6681">
        <w:rPr>
          <w:rFonts w:asciiTheme="minorHAnsi" w:hAnsiTheme="minorHAnsi"/>
          <w:b/>
        </w:rPr>
        <w:t xml:space="preserve">Fecha:   </w:t>
      </w:r>
      <w:r w:rsidR="00772C46" w:rsidRPr="007F6681">
        <w:rPr>
          <w:rFonts w:asciiTheme="minorHAnsi" w:hAnsiTheme="minorHAnsi"/>
          <w:b/>
        </w:rPr>
        <w:tab/>
      </w:r>
      <w:r w:rsidR="002632DA">
        <w:rPr>
          <w:rFonts w:asciiTheme="minorHAnsi" w:hAnsiTheme="minorHAnsi"/>
        </w:rPr>
        <w:t>29</w:t>
      </w:r>
      <w:r w:rsidR="00167CB8" w:rsidRPr="007F6681">
        <w:rPr>
          <w:rFonts w:asciiTheme="minorHAnsi" w:hAnsiTheme="minorHAnsi"/>
        </w:rPr>
        <w:t xml:space="preserve"> de </w:t>
      </w:r>
      <w:r w:rsidR="00D82FE9" w:rsidRPr="007F6681">
        <w:rPr>
          <w:rFonts w:asciiTheme="minorHAnsi" w:hAnsiTheme="minorHAnsi"/>
        </w:rPr>
        <w:t>enero</w:t>
      </w:r>
      <w:r w:rsidR="00AB4BD0">
        <w:rPr>
          <w:rFonts w:asciiTheme="minorHAnsi" w:hAnsiTheme="minorHAnsi"/>
        </w:rPr>
        <w:t xml:space="preserve"> de 2018</w:t>
      </w:r>
      <w:r w:rsidR="00167CB8" w:rsidRPr="007F6681">
        <w:rPr>
          <w:rFonts w:asciiTheme="minorHAnsi" w:hAnsiTheme="minorHAnsi"/>
        </w:rPr>
        <w:t>.</w:t>
      </w:r>
      <w:r w:rsidRPr="007F6681">
        <w:rPr>
          <w:rFonts w:asciiTheme="minorHAnsi" w:hAnsiTheme="minorHAnsi"/>
          <w:b/>
        </w:rPr>
        <w:t xml:space="preserve">                                         </w:t>
      </w:r>
    </w:p>
    <w:p w:rsidR="000300A1" w:rsidRPr="002B6857" w:rsidRDefault="000300A1" w:rsidP="003C737D">
      <w:pPr>
        <w:ind w:left="426"/>
        <w:jc w:val="center"/>
        <w:rPr>
          <w:sz w:val="18"/>
          <w:szCs w:val="20"/>
        </w:rPr>
      </w:pPr>
      <w:r w:rsidRPr="002B6857">
        <w:rPr>
          <w:sz w:val="18"/>
          <w:szCs w:val="20"/>
        </w:rPr>
        <w:t>_________________________________________________________</w:t>
      </w:r>
      <w:r w:rsidR="003C737D">
        <w:rPr>
          <w:sz w:val="18"/>
          <w:szCs w:val="20"/>
        </w:rPr>
        <w:softHyphen/>
      </w:r>
      <w:r w:rsidR="003C737D">
        <w:rPr>
          <w:sz w:val="18"/>
          <w:szCs w:val="20"/>
        </w:rPr>
        <w:softHyphen/>
      </w:r>
      <w:r w:rsidR="003C737D">
        <w:rPr>
          <w:sz w:val="18"/>
          <w:szCs w:val="20"/>
        </w:rPr>
        <w:softHyphen/>
      </w:r>
      <w:r w:rsidR="003C737D">
        <w:rPr>
          <w:sz w:val="18"/>
          <w:szCs w:val="20"/>
        </w:rPr>
        <w:softHyphen/>
      </w:r>
      <w:r w:rsidR="003C737D">
        <w:rPr>
          <w:sz w:val="18"/>
          <w:szCs w:val="20"/>
        </w:rPr>
        <w:softHyphen/>
      </w:r>
      <w:r w:rsidRPr="002B6857">
        <w:rPr>
          <w:sz w:val="18"/>
          <w:szCs w:val="20"/>
        </w:rPr>
        <w:t>_________________</w:t>
      </w:r>
      <w:r w:rsidR="00AA63AF" w:rsidRPr="002B6857">
        <w:rPr>
          <w:sz w:val="18"/>
          <w:szCs w:val="20"/>
        </w:rPr>
        <w:t>_________________</w:t>
      </w:r>
      <w:r w:rsidRPr="002B6857">
        <w:rPr>
          <w:sz w:val="18"/>
          <w:szCs w:val="20"/>
        </w:rPr>
        <w:t>_</w:t>
      </w:r>
    </w:p>
    <w:p w:rsidR="000300A1" w:rsidRPr="002B6857" w:rsidRDefault="000300A1" w:rsidP="000300A1">
      <w:pPr>
        <w:rPr>
          <w:sz w:val="22"/>
        </w:rPr>
      </w:pPr>
    </w:p>
    <w:p w:rsidR="005D2679" w:rsidRDefault="0076229E" w:rsidP="003B4743">
      <w:pPr>
        <w:ind w:left="993" w:right="13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 la finalid</w:t>
      </w:r>
      <w:r w:rsidR="003B4743">
        <w:rPr>
          <w:rFonts w:asciiTheme="minorHAnsi" w:hAnsiTheme="minorHAnsi"/>
        </w:rPr>
        <w:t xml:space="preserve">ad de </w:t>
      </w:r>
      <w:r w:rsidR="00F41A0A">
        <w:rPr>
          <w:rFonts w:asciiTheme="minorHAnsi" w:hAnsiTheme="minorHAnsi"/>
        </w:rPr>
        <w:t>tramitar</w:t>
      </w:r>
      <w:r w:rsidR="003B4743">
        <w:rPr>
          <w:rFonts w:asciiTheme="minorHAnsi" w:hAnsiTheme="minorHAnsi"/>
        </w:rPr>
        <w:t xml:space="preserve"> el registro en los sistemas</w:t>
      </w:r>
      <w:r>
        <w:rPr>
          <w:rFonts w:asciiTheme="minorHAnsi" w:hAnsiTheme="minorHAnsi"/>
        </w:rPr>
        <w:t xml:space="preserve"> SIGA-PJ y SICA-PJ de los </w:t>
      </w:r>
      <w:r w:rsidR="0056342C">
        <w:rPr>
          <w:rFonts w:asciiTheme="minorHAnsi" w:hAnsiTheme="minorHAnsi"/>
        </w:rPr>
        <w:t>activos</w:t>
      </w:r>
      <w:r>
        <w:rPr>
          <w:rFonts w:asciiTheme="minorHAnsi" w:hAnsiTheme="minorHAnsi"/>
        </w:rPr>
        <w:t xml:space="preserve"> donados al Pode</w:t>
      </w:r>
      <w:r w:rsidR="00F41A0A">
        <w:rPr>
          <w:rFonts w:asciiTheme="minorHAnsi" w:hAnsiTheme="minorHAnsi"/>
        </w:rPr>
        <w:t>r Judicial y según lo establecido</w:t>
      </w:r>
      <w:r>
        <w:rPr>
          <w:rFonts w:asciiTheme="minorHAnsi" w:hAnsiTheme="minorHAnsi"/>
        </w:rPr>
        <w:t xml:space="preserve"> </w:t>
      </w:r>
      <w:r w:rsidR="008D1B40">
        <w:rPr>
          <w:rFonts w:asciiTheme="minorHAnsi" w:hAnsiTheme="minorHAnsi"/>
        </w:rPr>
        <w:t xml:space="preserve">el Reglamento </w:t>
      </w:r>
      <w:r w:rsidR="005D2679">
        <w:rPr>
          <w:rFonts w:asciiTheme="minorHAnsi" w:hAnsiTheme="minorHAnsi"/>
        </w:rPr>
        <w:t>para el Registro, Control y uso de activos institucionales del Poder Judicial,</w:t>
      </w:r>
      <w:r>
        <w:rPr>
          <w:rFonts w:asciiTheme="minorHAnsi" w:hAnsiTheme="minorHAnsi"/>
        </w:rPr>
        <w:t xml:space="preserve"> </w:t>
      </w:r>
      <w:r w:rsidRPr="0076229E">
        <w:rPr>
          <w:rFonts w:asciiTheme="minorHAnsi" w:hAnsiTheme="minorHAnsi"/>
        </w:rPr>
        <w:t>específicamente en el Capítulo V, artículos 12, 13, 14 y 15</w:t>
      </w:r>
      <w:r>
        <w:rPr>
          <w:rFonts w:asciiTheme="minorHAnsi" w:hAnsiTheme="minorHAnsi"/>
        </w:rPr>
        <w:t xml:space="preserve">, se recuerdan los pasos a seguir </w:t>
      </w:r>
      <w:r w:rsidR="003B4743">
        <w:rPr>
          <w:rFonts w:asciiTheme="minorHAnsi" w:hAnsiTheme="minorHAnsi"/>
        </w:rPr>
        <w:t xml:space="preserve">por parte de las oficinas judiciales </w:t>
      </w:r>
      <w:r w:rsidR="00F41A0A">
        <w:rPr>
          <w:rFonts w:asciiTheme="minorHAnsi" w:hAnsiTheme="minorHAnsi"/>
        </w:rPr>
        <w:t xml:space="preserve">que reciben </w:t>
      </w:r>
      <w:r w:rsidR="00E228DF">
        <w:rPr>
          <w:rFonts w:asciiTheme="minorHAnsi" w:hAnsiTheme="minorHAnsi"/>
        </w:rPr>
        <w:t>este tipo de bienes</w:t>
      </w:r>
      <w:r w:rsidR="00F41A0A">
        <w:rPr>
          <w:rFonts w:asciiTheme="minorHAnsi" w:hAnsiTheme="minorHAnsi"/>
        </w:rPr>
        <w:t xml:space="preserve"> </w:t>
      </w:r>
      <w:r w:rsidR="00E228DF">
        <w:rPr>
          <w:rFonts w:asciiTheme="minorHAnsi" w:hAnsiTheme="minorHAnsi"/>
        </w:rPr>
        <w:t>para que los mismos sean</w:t>
      </w:r>
      <w:r w:rsidR="003B4743">
        <w:rPr>
          <w:rFonts w:asciiTheme="minorHAnsi" w:hAnsiTheme="minorHAnsi"/>
        </w:rPr>
        <w:t xml:space="preserve"> reconoci</w:t>
      </w:r>
      <w:r w:rsidR="00E228DF">
        <w:rPr>
          <w:rFonts w:asciiTheme="minorHAnsi" w:hAnsiTheme="minorHAnsi"/>
        </w:rPr>
        <w:t xml:space="preserve">dos en el </w:t>
      </w:r>
      <w:r w:rsidR="003B4743">
        <w:rPr>
          <w:rFonts w:asciiTheme="minorHAnsi" w:hAnsiTheme="minorHAnsi"/>
        </w:rPr>
        <w:t>patrimonio institucional:</w:t>
      </w:r>
      <w:r>
        <w:rPr>
          <w:rFonts w:asciiTheme="minorHAnsi" w:hAnsiTheme="minorHAnsi"/>
        </w:rPr>
        <w:t xml:space="preserve"> </w:t>
      </w:r>
    </w:p>
    <w:p w:rsidR="003330EB" w:rsidRDefault="003330EB" w:rsidP="003B4743">
      <w:pPr>
        <w:ind w:left="993" w:right="130"/>
        <w:jc w:val="both"/>
        <w:rPr>
          <w:rFonts w:asciiTheme="minorHAnsi" w:hAnsiTheme="minorHAnsi"/>
        </w:rPr>
      </w:pPr>
    </w:p>
    <w:p w:rsidR="005D2679" w:rsidRDefault="003330EB" w:rsidP="003B4743">
      <w:pPr>
        <w:pStyle w:val="Prrafodelista"/>
        <w:numPr>
          <w:ilvl w:val="0"/>
          <w:numId w:val="7"/>
        </w:numPr>
        <w:tabs>
          <w:tab w:val="left" w:pos="1418"/>
          <w:tab w:val="left" w:pos="1701"/>
        </w:tabs>
        <w:ind w:left="1276" w:right="130" w:firstLine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oficina que se encuentre interesada en recibir una donación de bienes muebles, bienes inmuebles, equipo de cómputo (Hardware-Software) e intangibles</w:t>
      </w:r>
      <w:r w:rsidR="0076229E">
        <w:rPr>
          <w:rFonts w:asciiTheme="minorHAnsi" w:hAnsiTheme="minorHAnsi"/>
        </w:rPr>
        <w:t xml:space="preserve"> y/u otros bienes que no son de la partida 5 denominada bienes duraderos (activos de partidas diferentes a la partida 5), deberán de</w:t>
      </w:r>
      <w:r w:rsidRPr="0076229E">
        <w:rPr>
          <w:rFonts w:asciiTheme="minorHAnsi" w:hAnsiTheme="minorHAnsi"/>
        </w:rPr>
        <w:t xml:space="preserve"> </w:t>
      </w:r>
      <w:r w:rsidR="0076229E">
        <w:rPr>
          <w:rFonts w:asciiTheme="minorHAnsi" w:hAnsiTheme="minorHAnsi"/>
        </w:rPr>
        <w:t>realizar</w:t>
      </w:r>
      <w:r w:rsidRPr="0076229E">
        <w:rPr>
          <w:rFonts w:asciiTheme="minorHAnsi" w:hAnsiTheme="minorHAnsi"/>
        </w:rPr>
        <w:t xml:space="preserve"> la solicitud al Consejo Superior o Corte Plena, adjuntando el </w:t>
      </w:r>
      <w:bookmarkStart w:id="1" w:name="_Hlk504046805"/>
      <w:r w:rsidRPr="0076229E">
        <w:rPr>
          <w:rFonts w:asciiTheme="minorHAnsi" w:hAnsiTheme="minorHAnsi"/>
          <w:b/>
          <w:u w:val="single"/>
        </w:rPr>
        <w:t>formulario de Valoración técnica de bienes</w:t>
      </w:r>
      <w:r w:rsidRPr="0076229E">
        <w:rPr>
          <w:rFonts w:asciiTheme="minorHAnsi" w:hAnsiTheme="minorHAnsi"/>
          <w:u w:val="single"/>
        </w:rPr>
        <w:t xml:space="preserve">, </w:t>
      </w:r>
      <w:r w:rsidRPr="0076229E">
        <w:rPr>
          <w:rFonts w:asciiTheme="minorHAnsi" w:hAnsiTheme="minorHAnsi"/>
          <w:b/>
          <w:u w:val="single"/>
        </w:rPr>
        <w:t xml:space="preserve">para trámites de donación en el </w:t>
      </w:r>
      <w:r w:rsidRPr="003B4743">
        <w:rPr>
          <w:rFonts w:asciiTheme="minorHAnsi" w:hAnsiTheme="minorHAnsi"/>
          <w:b/>
          <w:u w:val="single"/>
        </w:rPr>
        <w:t>Poder Judicial</w:t>
      </w:r>
      <w:bookmarkEnd w:id="1"/>
      <w:r w:rsidR="002346E7">
        <w:rPr>
          <w:rStyle w:val="Refdenotaalfinal"/>
          <w:rFonts w:asciiTheme="minorHAnsi" w:hAnsiTheme="minorHAnsi"/>
        </w:rPr>
        <w:endnoteReference w:id="1"/>
      </w:r>
      <w:r w:rsidR="00E228DF">
        <w:rPr>
          <w:rFonts w:asciiTheme="minorHAnsi" w:hAnsiTheme="minorHAnsi"/>
        </w:rPr>
        <w:t>,</w:t>
      </w:r>
      <w:r w:rsidRPr="0076229E">
        <w:rPr>
          <w:rFonts w:asciiTheme="minorHAnsi" w:hAnsiTheme="minorHAnsi"/>
        </w:rPr>
        <w:t xml:space="preserve">  el </w:t>
      </w:r>
      <w:r w:rsidR="00E228DF">
        <w:rPr>
          <w:rFonts w:asciiTheme="minorHAnsi" w:hAnsiTheme="minorHAnsi"/>
        </w:rPr>
        <w:t>documento con el ofrecimiento</w:t>
      </w:r>
      <w:r w:rsidRPr="0076229E">
        <w:rPr>
          <w:rFonts w:asciiTheme="minorHAnsi" w:hAnsiTheme="minorHAnsi"/>
        </w:rPr>
        <w:t xml:space="preserve"> oficial del donante y los criterios técnicos respectivos, con el fin de que se emita el acuerdo correspondiente.</w:t>
      </w:r>
    </w:p>
    <w:p w:rsidR="0076229E" w:rsidRDefault="0076229E" w:rsidP="003B4743">
      <w:pPr>
        <w:pStyle w:val="Prrafodelista"/>
        <w:ind w:left="993" w:right="130"/>
        <w:jc w:val="both"/>
        <w:rPr>
          <w:rFonts w:asciiTheme="minorHAnsi" w:hAnsiTheme="minorHAnsi"/>
        </w:rPr>
      </w:pPr>
    </w:p>
    <w:p w:rsidR="0076229E" w:rsidRDefault="00E228DF" w:rsidP="003B4743">
      <w:pPr>
        <w:pStyle w:val="Prrafodelista"/>
        <w:numPr>
          <w:ilvl w:val="0"/>
          <w:numId w:val="7"/>
        </w:numPr>
        <w:tabs>
          <w:tab w:val="left" w:pos="1418"/>
          <w:tab w:val="left" w:pos="1701"/>
        </w:tabs>
        <w:ind w:left="1276" w:right="130" w:firstLine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Luego de haber sido aceptada por el Consejo Superior o Corte Plena, se deberá coordinar la recepción de los bienes y posterior a eso realizar la confección d</w:t>
      </w:r>
      <w:r w:rsidR="0076229E">
        <w:rPr>
          <w:rFonts w:asciiTheme="minorHAnsi" w:hAnsiTheme="minorHAnsi"/>
        </w:rPr>
        <w:t>el</w:t>
      </w:r>
      <w:r w:rsidR="0076229E" w:rsidRPr="0076229E">
        <w:t xml:space="preserve"> </w:t>
      </w:r>
      <w:r w:rsidR="0076229E" w:rsidRPr="0076229E">
        <w:rPr>
          <w:rFonts w:asciiTheme="minorHAnsi" w:hAnsiTheme="minorHAnsi"/>
          <w:b/>
          <w:u w:val="single"/>
        </w:rPr>
        <w:t>acta de recibo de bienes donados al Poder Judicial bienes muebles y/o inmuebles</w:t>
      </w:r>
      <w:r w:rsidR="0076229E">
        <w:rPr>
          <w:rFonts w:asciiTheme="minorHAnsi" w:hAnsiTheme="minorHAnsi"/>
        </w:rPr>
        <w:t>.</w:t>
      </w:r>
    </w:p>
    <w:p w:rsidR="0076229E" w:rsidRPr="0076229E" w:rsidRDefault="0076229E" w:rsidP="003B4743">
      <w:pPr>
        <w:pStyle w:val="Prrafodelista"/>
        <w:ind w:left="993" w:right="130"/>
        <w:rPr>
          <w:rFonts w:asciiTheme="minorHAnsi" w:hAnsiTheme="minorHAnsi"/>
        </w:rPr>
      </w:pPr>
    </w:p>
    <w:p w:rsidR="006A3555" w:rsidRPr="002346E7" w:rsidRDefault="003B4743" w:rsidP="002346E7">
      <w:pPr>
        <w:pStyle w:val="Prrafodelista"/>
        <w:numPr>
          <w:ilvl w:val="0"/>
          <w:numId w:val="7"/>
        </w:numPr>
        <w:tabs>
          <w:tab w:val="left" w:pos="1418"/>
          <w:tab w:val="left" w:pos="1701"/>
        </w:tabs>
        <w:ind w:right="130" w:firstLine="13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Finalizados los puntos 1 y 2 citados anteriormente, </w:t>
      </w:r>
      <w:r w:rsidR="00916685">
        <w:rPr>
          <w:rFonts w:asciiTheme="minorHAnsi" w:hAnsiTheme="minorHAnsi"/>
        </w:rPr>
        <w:t xml:space="preserve">la oficina </w:t>
      </w:r>
      <w:r w:rsidR="0006444E">
        <w:rPr>
          <w:rFonts w:asciiTheme="minorHAnsi" w:hAnsiTheme="minorHAnsi"/>
        </w:rPr>
        <w:t>involucrada</w:t>
      </w:r>
      <w:r w:rsidR="00916685">
        <w:rPr>
          <w:rFonts w:asciiTheme="minorHAnsi" w:hAnsiTheme="minorHAnsi"/>
        </w:rPr>
        <w:t xml:space="preserve"> deberá</w:t>
      </w:r>
      <w:r>
        <w:rPr>
          <w:rFonts w:asciiTheme="minorHAnsi" w:hAnsiTheme="minorHAnsi"/>
        </w:rPr>
        <w:t xml:space="preserve"> de </w:t>
      </w:r>
      <w:r w:rsidR="00916685">
        <w:rPr>
          <w:rFonts w:asciiTheme="minorHAnsi" w:hAnsiTheme="minorHAnsi"/>
        </w:rPr>
        <w:t xml:space="preserve">realizar un comunicado a los correos </w:t>
      </w:r>
      <w:hyperlink r:id="rId9" w:history="1">
        <w:r w:rsidR="00916685" w:rsidRPr="001A553B">
          <w:rPr>
            <w:rStyle w:val="Hipervnculo"/>
            <w:rFonts w:asciiTheme="minorHAnsi" w:hAnsiTheme="minorHAnsi"/>
          </w:rPr>
          <w:t>activospj</w:t>
        </w:r>
        <w:bookmarkStart w:id="2" w:name="_Hlk504046986"/>
        <w:r w:rsidR="00916685" w:rsidRPr="001A553B">
          <w:rPr>
            <w:rStyle w:val="Hipervnculo"/>
            <w:rFonts w:asciiTheme="minorHAnsi" w:hAnsiTheme="minorHAnsi"/>
          </w:rPr>
          <w:t>@</w:t>
        </w:r>
        <w:bookmarkEnd w:id="2"/>
        <w:r w:rsidR="00916685" w:rsidRPr="001A553B">
          <w:rPr>
            <w:rStyle w:val="Hipervnculo"/>
            <w:rFonts w:asciiTheme="minorHAnsi" w:hAnsiTheme="minorHAnsi"/>
          </w:rPr>
          <w:t>poder-Judicial.go.cr</w:t>
        </w:r>
      </w:hyperlink>
      <w:r w:rsidR="00916685">
        <w:rPr>
          <w:rFonts w:asciiTheme="minorHAnsi" w:hAnsiTheme="minorHAnsi"/>
        </w:rPr>
        <w:t xml:space="preserve"> y </w:t>
      </w:r>
      <w:hyperlink r:id="rId10" w:history="1">
        <w:r w:rsidR="00916685" w:rsidRPr="001A553B">
          <w:rPr>
            <w:rStyle w:val="Hipervnculo"/>
            <w:rFonts w:asciiTheme="minorHAnsi" w:hAnsiTheme="minorHAnsi"/>
          </w:rPr>
          <w:t>lsanchezga@poder-judicial.go.cr</w:t>
        </w:r>
      </w:hyperlink>
      <w:r w:rsidR="006A3555">
        <w:rPr>
          <w:rFonts w:asciiTheme="minorHAnsi" w:hAnsiTheme="minorHAnsi"/>
        </w:rPr>
        <w:t xml:space="preserve"> </w:t>
      </w:r>
      <w:r w:rsidR="00916685">
        <w:rPr>
          <w:rFonts w:asciiTheme="minorHAnsi" w:hAnsiTheme="minorHAnsi"/>
        </w:rPr>
        <w:t xml:space="preserve"> </w:t>
      </w:r>
      <w:r w:rsidR="006A3555">
        <w:rPr>
          <w:rFonts w:asciiTheme="minorHAnsi" w:hAnsiTheme="minorHAnsi"/>
        </w:rPr>
        <w:t>adjuntando el</w:t>
      </w:r>
      <w:r w:rsidRPr="00916685">
        <w:rPr>
          <w:rFonts w:asciiTheme="minorHAnsi" w:hAnsiTheme="minorHAnsi"/>
        </w:rPr>
        <w:t xml:space="preserve"> </w:t>
      </w:r>
      <w:r w:rsidR="00916685" w:rsidRPr="00916685">
        <w:rPr>
          <w:rFonts w:asciiTheme="minorHAnsi" w:hAnsiTheme="minorHAnsi"/>
        </w:rPr>
        <w:t>formulario de v</w:t>
      </w:r>
      <w:r w:rsidRPr="00916685">
        <w:rPr>
          <w:rFonts w:asciiTheme="minorHAnsi" w:hAnsiTheme="minorHAnsi"/>
        </w:rPr>
        <w:t>aloración técni</w:t>
      </w:r>
      <w:r w:rsidR="00FC3F5A">
        <w:rPr>
          <w:rFonts w:asciiTheme="minorHAnsi" w:hAnsiTheme="minorHAnsi"/>
        </w:rPr>
        <w:t>ca de bienes,</w:t>
      </w:r>
      <w:r w:rsidRPr="00916685">
        <w:rPr>
          <w:rFonts w:asciiTheme="minorHAnsi" w:hAnsiTheme="minorHAnsi"/>
        </w:rPr>
        <w:t xml:space="preserve"> el</w:t>
      </w:r>
      <w:r w:rsidRPr="003B4743">
        <w:t xml:space="preserve"> </w:t>
      </w:r>
      <w:r w:rsidRPr="00916685">
        <w:rPr>
          <w:rFonts w:asciiTheme="minorHAnsi" w:hAnsiTheme="minorHAnsi"/>
        </w:rPr>
        <w:t>acta de recibo</w:t>
      </w:r>
      <w:r w:rsidR="00FC3F5A">
        <w:rPr>
          <w:rFonts w:asciiTheme="minorHAnsi" w:hAnsiTheme="minorHAnsi"/>
        </w:rPr>
        <w:t xml:space="preserve"> y el acuerdo de Consejo Superior,</w:t>
      </w:r>
      <w:r w:rsidR="006A3555">
        <w:rPr>
          <w:rFonts w:asciiTheme="minorHAnsi" w:hAnsiTheme="minorHAnsi"/>
        </w:rPr>
        <w:t xml:space="preserve"> con el propósito de que se realicen los trámites pertinentes para la inclusión de dichos bienes como patrimonio del Poder Judicial</w:t>
      </w:r>
      <w:r w:rsidR="00E228DF">
        <w:rPr>
          <w:rFonts w:asciiTheme="minorHAnsi" w:hAnsiTheme="minorHAnsi"/>
        </w:rPr>
        <w:t xml:space="preserve">, dicho comunicado deberá de realizarse como máximo en </w:t>
      </w:r>
      <w:r w:rsidR="00E228DF">
        <w:rPr>
          <w:rFonts w:asciiTheme="minorHAnsi" w:hAnsiTheme="minorHAnsi"/>
          <w:b/>
        </w:rPr>
        <w:t>1 días hábil</w:t>
      </w:r>
      <w:r w:rsidR="00E228DF">
        <w:rPr>
          <w:rFonts w:asciiTheme="minorHAnsi" w:hAnsiTheme="minorHAnsi"/>
        </w:rPr>
        <w:t xml:space="preserve"> luego recibidos los bienes a satisfacción. </w:t>
      </w:r>
    </w:p>
    <w:sectPr w:rsidR="006A3555" w:rsidRPr="002346E7" w:rsidSect="002346E7">
      <w:pgSz w:w="11906" w:h="16838"/>
      <w:pgMar w:top="284" w:right="1133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35" w:rsidRDefault="00BF5035" w:rsidP="002346E7">
      <w:r>
        <w:separator/>
      </w:r>
    </w:p>
  </w:endnote>
  <w:endnote w:type="continuationSeparator" w:id="0">
    <w:p w:rsidR="00BF5035" w:rsidRDefault="00BF5035" w:rsidP="002346E7">
      <w:r>
        <w:continuationSeparator/>
      </w:r>
    </w:p>
  </w:endnote>
  <w:endnote w:id="1">
    <w:p w:rsidR="002346E7" w:rsidRPr="002346E7" w:rsidRDefault="002346E7" w:rsidP="002346E7">
      <w:pPr>
        <w:pStyle w:val="section1"/>
        <w:autoSpaceDE w:val="0"/>
        <w:autoSpaceDN w:val="0"/>
        <w:spacing w:before="120" w:beforeAutospacing="0" w:after="120" w:afterAutospacing="0"/>
        <w:ind w:left="993" w:right="567"/>
        <w:jc w:val="both"/>
        <w:rPr>
          <w:rFonts w:ascii="Calibri" w:hAnsi="Calibri"/>
          <w:iCs/>
          <w:sz w:val="18"/>
          <w:szCs w:val="22"/>
          <w:lang w:eastAsia="en-US"/>
        </w:rPr>
      </w:pPr>
      <w:r w:rsidRPr="002346E7">
        <w:rPr>
          <w:rStyle w:val="Refdenotaalfinal"/>
        </w:rPr>
        <w:endnoteRef/>
      </w:r>
      <w:r w:rsidRPr="002346E7">
        <w:t xml:space="preserve"> </w:t>
      </w:r>
      <w:r w:rsidRPr="002346E7">
        <w:rPr>
          <w:rFonts w:ascii="Calibri" w:hAnsi="Calibri"/>
          <w:b/>
          <w:bCs/>
          <w:iCs/>
          <w:sz w:val="18"/>
          <w:szCs w:val="22"/>
          <w:lang w:eastAsia="en-US"/>
        </w:rPr>
        <w:t>Formulario para la Valoración técnica de bienes, para trámites de donación en el Poder Judicial:</w:t>
      </w:r>
      <w:r w:rsidRPr="002346E7">
        <w:rPr>
          <w:rFonts w:ascii="Calibri" w:hAnsi="Calibri"/>
          <w:iCs/>
          <w:sz w:val="18"/>
          <w:szCs w:val="22"/>
          <w:lang w:eastAsia="en-US"/>
        </w:rPr>
        <w:t xml:space="preserve"> Es el documento que deben completar las oficinas técnicas correspondientes, para realizar la valoración de los bienes que se le ofrecen al Poder Judicial en calidad de donación.</w:t>
      </w:r>
    </w:p>
    <w:p w:rsidR="002346E7" w:rsidRDefault="002346E7" w:rsidP="002346E7">
      <w:pPr>
        <w:rPr>
          <w:rFonts w:ascii="Wingdings" w:hAnsi="Wingdings" w:cs="Wingdings"/>
          <w:szCs w:val="26"/>
          <w:lang w:val="es-CR"/>
        </w:rPr>
      </w:pPr>
    </w:p>
    <w:p w:rsidR="002346E7" w:rsidRPr="002346E7" w:rsidRDefault="002346E7">
      <w:pPr>
        <w:pStyle w:val="Textonotaalfinal"/>
        <w:rPr>
          <w:lang w:val="es-C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35" w:rsidRDefault="00BF5035" w:rsidP="002346E7">
      <w:r>
        <w:separator/>
      </w:r>
    </w:p>
  </w:footnote>
  <w:footnote w:type="continuationSeparator" w:id="0">
    <w:p w:rsidR="00BF5035" w:rsidRDefault="00BF5035" w:rsidP="0023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20325688"/>
    <w:multiLevelType w:val="hybridMultilevel"/>
    <w:tmpl w:val="5B764D0C"/>
    <w:lvl w:ilvl="0" w:tplc="0C0A000F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21A1F"/>
    <w:multiLevelType w:val="hybridMultilevel"/>
    <w:tmpl w:val="7F845A44"/>
    <w:lvl w:ilvl="0" w:tplc="3EFCA9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00E1D"/>
    <w:multiLevelType w:val="hybridMultilevel"/>
    <w:tmpl w:val="631A6A50"/>
    <w:lvl w:ilvl="0" w:tplc="DE9237E2">
      <w:start w:val="1"/>
      <w:numFmt w:val="lowerLetter"/>
      <w:lvlText w:val="%1)"/>
      <w:lvlJc w:val="left"/>
      <w:pPr>
        <w:tabs>
          <w:tab w:val="num" w:pos="1410"/>
        </w:tabs>
        <w:ind w:left="1410" w:hanging="63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D1B0C43"/>
    <w:multiLevelType w:val="hybridMultilevel"/>
    <w:tmpl w:val="AA6C7C32"/>
    <w:lvl w:ilvl="0" w:tplc="140A0011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C30B7D"/>
    <w:multiLevelType w:val="hybridMultilevel"/>
    <w:tmpl w:val="330834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A1"/>
    <w:rsid w:val="00007B4A"/>
    <w:rsid w:val="00012988"/>
    <w:rsid w:val="00017EF7"/>
    <w:rsid w:val="00024A1B"/>
    <w:rsid w:val="000300A1"/>
    <w:rsid w:val="00032CEC"/>
    <w:rsid w:val="000427B2"/>
    <w:rsid w:val="00056B0F"/>
    <w:rsid w:val="00056DC2"/>
    <w:rsid w:val="0006444E"/>
    <w:rsid w:val="00097F06"/>
    <w:rsid w:val="000B4D36"/>
    <w:rsid w:val="000C6BAC"/>
    <w:rsid w:val="00103B85"/>
    <w:rsid w:val="001070EB"/>
    <w:rsid w:val="00122823"/>
    <w:rsid w:val="00132D12"/>
    <w:rsid w:val="00156EF8"/>
    <w:rsid w:val="00163868"/>
    <w:rsid w:val="00167CB8"/>
    <w:rsid w:val="00180F1F"/>
    <w:rsid w:val="001866F9"/>
    <w:rsid w:val="00190D86"/>
    <w:rsid w:val="001937D3"/>
    <w:rsid w:val="001D4DA5"/>
    <w:rsid w:val="002043A3"/>
    <w:rsid w:val="0020500F"/>
    <w:rsid w:val="002109ED"/>
    <w:rsid w:val="002122E6"/>
    <w:rsid w:val="002126FC"/>
    <w:rsid w:val="00225DDD"/>
    <w:rsid w:val="00232507"/>
    <w:rsid w:val="002346E7"/>
    <w:rsid w:val="00245608"/>
    <w:rsid w:val="0024580A"/>
    <w:rsid w:val="002469BA"/>
    <w:rsid w:val="002632DA"/>
    <w:rsid w:val="00267565"/>
    <w:rsid w:val="00275122"/>
    <w:rsid w:val="00284F0F"/>
    <w:rsid w:val="0029799A"/>
    <w:rsid w:val="002B4984"/>
    <w:rsid w:val="002B4A38"/>
    <w:rsid w:val="002B6857"/>
    <w:rsid w:val="002C2CA4"/>
    <w:rsid w:val="00315E94"/>
    <w:rsid w:val="00324A24"/>
    <w:rsid w:val="003330EB"/>
    <w:rsid w:val="00352B81"/>
    <w:rsid w:val="00360544"/>
    <w:rsid w:val="003728C0"/>
    <w:rsid w:val="003760FE"/>
    <w:rsid w:val="00377E32"/>
    <w:rsid w:val="00384900"/>
    <w:rsid w:val="003A26A4"/>
    <w:rsid w:val="003B4743"/>
    <w:rsid w:val="003C6064"/>
    <w:rsid w:val="003C737D"/>
    <w:rsid w:val="003F3585"/>
    <w:rsid w:val="00421A5A"/>
    <w:rsid w:val="00454800"/>
    <w:rsid w:val="004744B7"/>
    <w:rsid w:val="00493263"/>
    <w:rsid w:val="004A1495"/>
    <w:rsid w:val="004B2BB0"/>
    <w:rsid w:val="004D6D37"/>
    <w:rsid w:val="005507D5"/>
    <w:rsid w:val="0056342C"/>
    <w:rsid w:val="00573730"/>
    <w:rsid w:val="00576704"/>
    <w:rsid w:val="0058513E"/>
    <w:rsid w:val="0059381C"/>
    <w:rsid w:val="005A795E"/>
    <w:rsid w:val="005B11EF"/>
    <w:rsid w:val="005C4DA1"/>
    <w:rsid w:val="005C5A0C"/>
    <w:rsid w:val="005D186D"/>
    <w:rsid w:val="005D2679"/>
    <w:rsid w:val="005E08A4"/>
    <w:rsid w:val="005E4010"/>
    <w:rsid w:val="005F349B"/>
    <w:rsid w:val="006015FD"/>
    <w:rsid w:val="00617A66"/>
    <w:rsid w:val="006709AF"/>
    <w:rsid w:val="00672C45"/>
    <w:rsid w:val="00683BF7"/>
    <w:rsid w:val="00694AE2"/>
    <w:rsid w:val="006A3555"/>
    <w:rsid w:val="006A40B1"/>
    <w:rsid w:val="006A5FDB"/>
    <w:rsid w:val="006B1807"/>
    <w:rsid w:val="006F49C5"/>
    <w:rsid w:val="00717BA3"/>
    <w:rsid w:val="00725E33"/>
    <w:rsid w:val="00727082"/>
    <w:rsid w:val="007514B6"/>
    <w:rsid w:val="0076050C"/>
    <w:rsid w:val="0076229E"/>
    <w:rsid w:val="007677FC"/>
    <w:rsid w:val="00772C46"/>
    <w:rsid w:val="00774C2B"/>
    <w:rsid w:val="0079042C"/>
    <w:rsid w:val="007A29E0"/>
    <w:rsid w:val="007A3A0F"/>
    <w:rsid w:val="007A46FB"/>
    <w:rsid w:val="007D39A5"/>
    <w:rsid w:val="007D71D1"/>
    <w:rsid w:val="007F4D04"/>
    <w:rsid w:val="007F6681"/>
    <w:rsid w:val="008000BA"/>
    <w:rsid w:val="0080762B"/>
    <w:rsid w:val="00821623"/>
    <w:rsid w:val="00872D29"/>
    <w:rsid w:val="008756C7"/>
    <w:rsid w:val="00885A87"/>
    <w:rsid w:val="008861B9"/>
    <w:rsid w:val="00890431"/>
    <w:rsid w:val="00896159"/>
    <w:rsid w:val="008D1B40"/>
    <w:rsid w:val="008F0BC9"/>
    <w:rsid w:val="00916685"/>
    <w:rsid w:val="009422BB"/>
    <w:rsid w:val="00963AF3"/>
    <w:rsid w:val="009902BB"/>
    <w:rsid w:val="009C445E"/>
    <w:rsid w:val="009E0708"/>
    <w:rsid w:val="009E515F"/>
    <w:rsid w:val="00A17A5E"/>
    <w:rsid w:val="00A24A46"/>
    <w:rsid w:val="00A24FD2"/>
    <w:rsid w:val="00A409AB"/>
    <w:rsid w:val="00A54A53"/>
    <w:rsid w:val="00A56DD3"/>
    <w:rsid w:val="00A7227A"/>
    <w:rsid w:val="00A74D40"/>
    <w:rsid w:val="00A8506B"/>
    <w:rsid w:val="00A92935"/>
    <w:rsid w:val="00A9783B"/>
    <w:rsid w:val="00AA4010"/>
    <w:rsid w:val="00AA63AF"/>
    <w:rsid w:val="00AB2E6F"/>
    <w:rsid w:val="00AB4BD0"/>
    <w:rsid w:val="00AB6A8F"/>
    <w:rsid w:val="00AC27E5"/>
    <w:rsid w:val="00AD6DCD"/>
    <w:rsid w:val="00AE44D6"/>
    <w:rsid w:val="00AF15AF"/>
    <w:rsid w:val="00B11E61"/>
    <w:rsid w:val="00B269FA"/>
    <w:rsid w:val="00B32552"/>
    <w:rsid w:val="00B3382C"/>
    <w:rsid w:val="00B33B63"/>
    <w:rsid w:val="00B50983"/>
    <w:rsid w:val="00B745DF"/>
    <w:rsid w:val="00B861BA"/>
    <w:rsid w:val="00B91AB8"/>
    <w:rsid w:val="00B94EAB"/>
    <w:rsid w:val="00BB5366"/>
    <w:rsid w:val="00BC16AE"/>
    <w:rsid w:val="00BD10AF"/>
    <w:rsid w:val="00BD7695"/>
    <w:rsid w:val="00BF5035"/>
    <w:rsid w:val="00C21CA2"/>
    <w:rsid w:val="00C514AB"/>
    <w:rsid w:val="00C5694A"/>
    <w:rsid w:val="00C71C67"/>
    <w:rsid w:val="00CB45F3"/>
    <w:rsid w:val="00CC31FB"/>
    <w:rsid w:val="00CE2663"/>
    <w:rsid w:val="00CE7EFD"/>
    <w:rsid w:val="00CF36FF"/>
    <w:rsid w:val="00D068EB"/>
    <w:rsid w:val="00D134EF"/>
    <w:rsid w:val="00D30D77"/>
    <w:rsid w:val="00D3697A"/>
    <w:rsid w:val="00D42A9A"/>
    <w:rsid w:val="00D4327D"/>
    <w:rsid w:val="00D82FE9"/>
    <w:rsid w:val="00D8367F"/>
    <w:rsid w:val="00D931BE"/>
    <w:rsid w:val="00DA7E80"/>
    <w:rsid w:val="00DE62A8"/>
    <w:rsid w:val="00DF0B74"/>
    <w:rsid w:val="00DF4141"/>
    <w:rsid w:val="00E00A73"/>
    <w:rsid w:val="00E01FDB"/>
    <w:rsid w:val="00E0244D"/>
    <w:rsid w:val="00E228DF"/>
    <w:rsid w:val="00E31747"/>
    <w:rsid w:val="00E443A9"/>
    <w:rsid w:val="00E5794A"/>
    <w:rsid w:val="00E61AF5"/>
    <w:rsid w:val="00E65324"/>
    <w:rsid w:val="00E7424D"/>
    <w:rsid w:val="00E8083D"/>
    <w:rsid w:val="00E856DD"/>
    <w:rsid w:val="00EC31C0"/>
    <w:rsid w:val="00ED38C6"/>
    <w:rsid w:val="00EE0AA6"/>
    <w:rsid w:val="00F17C41"/>
    <w:rsid w:val="00F347B0"/>
    <w:rsid w:val="00F4054D"/>
    <w:rsid w:val="00F41A0A"/>
    <w:rsid w:val="00F62B76"/>
    <w:rsid w:val="00F7252D"/>
    <w:rsid w:val="00F91E43"/>
    <w:rsid w:val="00FB4AB7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FE61C2-59A6-4EA2-8F4D-674D2447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2C45"/>
    <w:rPr>
      <w:sz w:val="24"/>
      <w:szCs w:val="24"/>
    </w:rPr>
  </w:style>
  <w:style w:type="paragraph" w:styleId="Ttulo1">
    <w:name w:val="heading 1"/>
    <w:basedOn w:val="Normal"/>
    <w:next w:val="Normal"/>
    <w:qFormat/>
    <w:rsid w:val="00E61AF5"/>
    <w:pPr>
      <w:keepNext/>
      <w:widowControl w:val="0"/>
      <w:numPr>
        <w:numId w:val="1"/>
      </w:numPr>
      <w:suppressAutoHyphens/>
      <w:jc w:val="center"/>
      <w:outlineLvl w:val="0"/>
    </w:pPr>
    <w:rPr>
      <w:rFonts w:ascii="Book Antiqua" w:hAnsi="Book Antiqua" w:cs="Book Antiqua"/>
      <w:b/>
      <w:i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916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300A1"/>
    <w:pPr>
      <w:jc w:val="center"/>
    </w:pPr>
    <w:rPr>
      <w:b/>
      <w:bCs/>
      <w:sz w:val="20"/>
      <w:szCs w:val="20"/>
    </w:rPr>
  </w:style>
  <w:style w:type="paragraph" w:styleId="Textoindependiente">
    <w:name w:val="Body Text"/>
    <w:basedOn w:val="Normal"/>
    <w:rsid w:val="00E61AF5"/>
    <w:pPr>
      <w:widowControl w:val="0"/>
      <w:suppressAutoHyphens/>
      <w:jc w:val="both"/>
    </w:pPr>
    <w:rPr>
      <w:rFonts w:ascii="Book Antiqua" w:hAnsi="Book Antiqua" w:cs="Book Antiqua"/>
      <w:b/>
      <w:bCs/>
      <w:i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E61AF5"/>
    <w:pPr>
      <w:widowControl w:val="0"/>
      <w:suppressAutoHyphens/>
      <w:jc w:val="both"/>
    </w:pPr>
    <w:rPr>
      <w:rFonts w:ascii="Book Antiqua" w:hAnsi="Book Antiqua" w:cs="Book Antiqua"/>
      <w:iCs/>
      <w:szCs w:val="20"/>
      <w:lang w:val="es-ES_tradnl" w:eastAsia="ar-SA"/>
    </w:rPr>
  </w:style>
  <w:style w:type="paragraph" w:customStyle="1" w:styleId="Noparagraphstyle">
    <w:name w:val="[No paragraph style]"/>
    <w:rsid w:val="00E61AF5"/>
    <w:pPr>
      <w:widowControl w:val="0"/>
      <w:suppressAutoHyphens/>
      <w:autoSpaceDE w:val="0"/>
      <w:spacing w:line="288" w:lineRule="auto"/>
    </w:pPr>
    <w:rPr>
      <w:color w:val="000000"/>
      <w:sz w:val="24"/>
      <w:szCs w:val="24"/>
      <w:lang w:eastAsia="ar-SA"/>
    </w:rPr>
  </w:style>
  <w:style w:type="paragraph" w:styleId="Fecha">
    <w:name w:val="Date"/>
    <w:basedOn w:val="Normal"/>
    <w:rsid w:val="00E61AF5"/>
    <w:rPr>
      <w:rFonts w:ascii="Courier New" w:hAnsi="Courier New"/>
      <w:szCs w:val="20"/>
      <w:lang w:val="es-ES_tradnl"/>
    </w:rPr>
  </w:style>
  <w:style w:type="character" w:styleId="Hipervnculo">
    <w:name w:val="Hyperlink"/>
    <w:rsid w:val="00E61AF5"/>
    <w:rPr>
      <w:color w:val="0000FF"/>
      <w:u w:val="single"/>
    </w:rPr>
  </w:style>
  <w:style w:type="character" w:styleId="Hipervnculovisitado">
    <w:name w:val="FollowedHyperlink"/>
    <w:rsid w:val="00E61AF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866F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866F9"/>
    <w:rPr>
      <w:rFonts w:ascii="Tahoma" w:hAnsi="Tahoma" w:cs="Tahoma"/>
      <w:sz w:val="16"/>
      <w:szCs w:val="16"/>
      <w:lang w:val="es-ES" w:eastAsia="es-ES"/>
    </w:rPr>
  </w:style>
  <w:style w:type="paragraph" w:customStyle="1" w:styleId="section1">
    <w:name w:val="section1"/>
    <w:basedOn w:val="Normal"/>
    <w:uiPriority w:val="99"/>
    <w:rsid w:val="00896159"/>
    <w:pPr>
      <w:spacing w:before="100" w:beforeAutospacing="1" w:after="100" w:afterAutospacing="1"/>
    </w:pPr>
    <w:rPr>
      <w:rFonts w:eastAsia="Calibri"/>
      <w:lang w:val="es-CR" w:eastAsia="es-CR"/>
    </w:rPr>
  </w:style>
  <w:style w:type="paragraph" w:customStyle="1" w:styleId="WW-Predeterminado1">
    <w:name w:val="WW-Predeterminado1"/>
    <w:next w:val="Normal"/>
    <w:uiPriority w:val="99"/>
    <w:rsid w:val="00BD76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s-CR"/>
    </w:rPr>
  </w:style>
  <w:style w:type="paragraph" w:styleId="NormalWeb">
    <w:name w:val="Normal (Web)"/>
    <w:basedOn w:val="Normal"/>
    <w:uiPriority w:val="99"/>
    <w:unhideWhenUsed/>
    <w:rsid w:val="00D3697A"/>
    <w:rPr>
      <w:rFonts w:eastAsia="Calibri"/>
      <w:lang w:val="es-CR" w:eastAsia="es-C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1AB8"/>
    <w:rPr>
      <w:color w:val="808080"/>
      <w:shd w:val="clear" w:color="auto" w:fill="E6E6E6"/>
    </w:rPr>
  </w:style>
  <w:style w:type="character" w:styleId="Nmerodelnea">
    <w:name w:val="line number"/>
    <w:basedOn w:val="Fuentedeprrafopredeter"/>
    <w:semiHidden/>
    <w:unhideWhenUsed/>
    <w:rsid w:val="00E856DD"/>
  </w:style>
  <w:style w:type="paragraph" w:styleId="Prrafodelista">
    <w:name w:val="List Paragraph"/>
    <w:basedOn w:val="Normal"/>
    <w:uiPriority w:val="34"/>
    <w:qFormat/>
    <w:rsid w:val="003330E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16685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rsid w:val="00916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alfinal">
    <w:name w:val="endnote text"/>
    <w:basedOn w:val="Normal"/>
    <w:link w:val="TextonotaalfinalCar"/>
    <w:semiHidden/>
    <w:unhideWhenUsed/>
    <w:rsid w:val="002346E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346E7"/>
  </w:style>
  <w:style w:type="character" w:styleId="Refdenotaalfinal">
    <w:name w:val="endnote reference"/>
    <w:basedOn w:val="Fuentedeprrafopredeter"/>
    <w:semiHidden/>
    <w:unhideWhenUsed/>
    <w:rsid w:val="00234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69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sanchezga@poder-judicial.g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tivospj@poder-Judicial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C6EA-0218-43FC-8D73-345176E7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 DIRECCIÓN EJECUTIVA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 DIRECCIÓN EJECUTIVA</dc:title>
  <dc:creator>aesquivels</dc:creator>
  <cp:lastModifiedBy>Farine Monge Salas</cp:lastModifiedBy>
  <cp:revision>2</cp:revision>
  <dcterms:created xsi:type="dcterms:W3CDTF">2018-01-30T13:50:00Z</dcterms:created>
  <dcterms:modified xsi:type="dcterms:W3CDTF">2018-01-30T13:50:00Z</dcterms:modified>
</cp:coreProperties>
</file>