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37" w:rsidRPr="002B6857" w:rsidRDefault="00360544" w:rsidP="004D6D37">
      <w:pPr>
        <w:autoSpaceDE w:val="0"/>
        <w:autoSpaceDN w:val="0"/>
        <w:adjustRightInd w:val="0"/>
        <w:jc w:val="center"/>
        <w:rPr>
          <w:rFonts w:ascii="Arial" w:hAnsi="Arial"/>
          <w:b/>
          <w:sz w:val="22"/>
        </w:rPr>
      </w:pPr>
      <w:bookmarkStart w:id="0" w:name="_GoBack"/>
      <w:bookmarkEnd w:id="0"/>
      <w:r w:rsidRPr="002B6857">
        <w:rPr>
          <w:noProof/>
          <w:sz w:val="22"/>
          <w:lang w:val="es-CR" w:eastAsia="es-CR"/>
        </w:rPr>
        <w:drawing>
          <wp:anchor distT="0" distB="0" distL="114300" distR="114300" simplePos="0" relativeHeight="251657728" behindDoc="0" locked="0" layoutInCell="1" allowOverlap="1">
            <wp:simplePos x="0" y="0"/>
            <wp:positionH relativeFrom="column">
              <wp:posOffset>3002280</wp:posOffset>
            </wp:positionH>
            <wp:positionV relativeFrom="paragraph">
              <wp:posOffset>-351155</wp:posOffset>
            </wp:positionV>
            <wp:extent cx="563880" cy="632460"/>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632460"/>
                    </a:xfrm>
                    <a:prstGeom prst="rect">
                      <a:avLst/>
                    </a:prstGeom>
                    <a:noFill/>
                    <a:ln>
                      <a:noFill/>
                    </a:ln>
                  </pic:spPr>
                </pic:pic>
              </a:graphicData>
            </a:graphic>
          </wp:anchor>
        </w:drawing>
      </w:r>
    </w:p>
    <w:p w:rsidR="004D6D37" w:rsidRPr="002B6857" w:rsidRDefault="004D6D37" w:rsidP="004D6D37">
      <w:pPr>
        <w:autoSpaceDE w:val="0"/>
        <w:autoSpaceDN w:val="0"/>
        <w:adjustRightInd w:val="0"/>
        <w:jc w:val="center"/>
        <w:rPr>
          <w:b/>
          <w:sz w:val="22"/>
        </w:rPr>
      </w:pPr>
    </w:p>
    <w:p w:rsidR="004D6D37" w:rsidRPr="007F6681" w:rsidRDefault="004D6D37" w:rsidP="00E8083D">
      <w:pPr>
        <w:autoSpaceDE w:val="0"/>
        <w:autoSpaceDN w:val="0"/>
        <w:adjustRightInd w:val="0"/>
        <w:ind w:left="142"/>
        <w:jc w:val="center"/>
        <w:rPr>
          <w:rFonts w:asciiTheme="minorHAnsi" w:hAnsiTheme="minorHAnsi" w:cs="Arial"/>
          <w:b/>
        </w:rPr>
      </w:pPr>
      <w:r w:rsidRPr="007F6681">
        <w:rPr>
          <w:rFonts w:asciiTheme="minorHAnsi" w:hAnsiTheme="minorHAnsi" w:cs="Arial"/>
          <w:b/>
        </w:rPr>
        <w:t>PODER JUDICIAL</w:t>
      </w:r>
    </w:p>
    <w:p w:rsidR="004D6D37" w:rsidRPr="007F6681" w:rsidRDefault="004D6D37" w:rsidP="00E8083D">
      <w:pPr>
        <w:autoSpaceDE w:val="0"/>
        <w:autoSpaceDN w:val="0"/>
        <w:adjustRightInd w:val="0"/>
        <w:ind w:left="142"/>
        <w:jc w:val="center"/>
        <w:rPr>
          <w:rFonts w:asciiTheme="minorHAnsi" w:hAnsiTheme="minorHAnsi" w:cs="Arial"/>
          <w:b/>
        </w:rPr>
      </w:pPr>
      <w:r w:rsidRPr="007F6681">
        <w:rPr>
          <w:rFonts w:asciiTheme="minorHAnsi" w:hAnsiTheme="minorHAnsi" w:cs="Arial"/>
          <w:b/>
        </w:rPr>
        <w:t>DEPARTAMENTO DE PROVEEDURÍA</w:t>
      </w:r>
    </w:p>
    <w:p w:rsidR="004D6D37" w:rsidRPr="007F6681" w:rsidRDefault="004D6D37" w:rsidP="004D6D37">
      <w:pPr>
        <w:tabs>
          <w:tab w:val="right" w:pos="10366"/>
        </w:tabs>
        <w:autoSpaceDE w:val="0"/>
        <w:autoSpaceDN w:val="0"/>
        <w:adjustRightInd w:val="0"/>
        <w:rPr>
          <w:rFonts w:asciiTheme="minorHAnsi" w:hAnsiTheme="minorHAnsi"/>
          <w:sz w:val="18"/>
          <w:u w:val="single"/>
        </w:rPr>
      </w:pPr>
      <w:r w:rsidRPr="007F6681">
        <w:rPr>
          <w:rFonts w:asciiTheme="minorHAnsi" w:hAnsiTheme="minorHAnsi"/>
          <w:sz w:val="18"/>
          <w:u w:val="single"/>
        </w:rPr>
        <w:t xml:space="preserve">                                 </w:t>
      </w:r>
      <w:r w:rsidRPr="007F6681">
        <w:rPr>
          <w:rFonts w:asciiTheme="minorHAnsi" w:hAnsiTheme="minorHAnsi"/>
          <w:sz w:val="18"/>
          <w:u w:val="single"/>
        </w:rPr>
        <w:tab/>
        <w:t xml:space="preserve">  </w:t>
      </w:r>
    </w:p>
    <w:p w:rsidR="000300A1" w:rsidRPr="007F6681" w:rsidRDefault="000300A1" w:rsidP="00F17C41">
      <w:pPr>
        <w:rPr>
          <w:rFonts w:asciiTheme="minorHAnsi" w:hAnsiTheme="minorHAnsi"/>
        </w:rPr>
      </w:pPr>
    </w:p>
    <w:p w:rsidR="007677FC" w:rsidRPr="007F6681" w:rsidRDefault="009C445E" w:rsidP="000300A1">
      <w:pPr>
        <w:ind w:left="1418" w:hanging="1418"/>
        <w:jc w:val="center"/>
        <w:rPr>
          <w:rFonts w:asciiTheme="minorHAnsi" w:hAnsiTheme="minorHAnsi" w:cs="Arial"/>
          <w:b/>
        </w:rPr>
      </w:pPr>
      <w:r w:rsidRPr="007F6681">
        <w:rPr>
          <w:rFonts w:asciiTheme="minorHAnsi" w:hAnsiTheme="minorHAnsi" w:cs="Arial"/>
          <w:b/>
        </w:rPr>
        <w:t>Circular</w:t>
      </w:r>
      <w:r w:rsidR="00E7424D" w:rsidRPr="007F6681">
        <w:rPr>
          <w:rFonts w:asciiTheme="minorHAnsi" w:hAnsiTheme="minorHAnsi" w:cs="Arial"/>
          <w:b/>
        </w:rPr>
        <w:t xml:space="preserve"> </w:t>
      </w:r>
      <w:r w:rsidR="00E7424D" w:rsidRPr="00A74D40">
        <w:rPr>
          <w:rFonts w:asciiTheme="minorHAnsi" w:hAnsiTheme="minorHAnsi" w:cs="Arial"/>
          <w:b/>
        </w:rPr>
        <w:t>No.</w:t>
      </w:r>
      <w:r w:rsidRPr="00A74D40">
        <w:rPr>
          <w:rFonts w:asciiTheme="minorHAnsi" w:hAnsiTheme="minorHAnsi" w:cs="Arial"/>
          <w:b/>
        </w:rPr>
        <w:t xml:space="preserve"> </w:t>
      </w:r>
      <w:r w:rsidR="00A74D40" w:rsidRPr="00A74D40">
        <w:rPr>
          <w:rFonts w:asciiTheme="minorHAnsi" w:hAnsiTheme="minorHAnsi" w:cs="Arial"/>
          <w:b/>
        </w:rPr>
        <w:t>10</w:t>
      </w:r>
      <w:r w:rsidR="00122823" w:rsidRPr="00A74D40">
        <w:rPr>
          <w:rFonts w:asciiTheme="minorHAnsi" w:hAnsiTheme="minorHAnsi" w:cs="Arial"/>
          <w:b/>
        </w:rPr>
        <w:t>-2018</w:t>
      </w:r>
    </w:p>
    <w:p w:rsidR="007677FC" w:rsidRPr="007F6681" w:rsidRDefault="007677FC" w:rsidP="00725E33">
      <w:pPr>
        <w:ind w:left="1418" w:hanging="425"/>
        <w:jc w:val="center"/>
        <w:rPr>
          <w:rFonts w:asciiTheme="minorHAnsi" w:hAnsiTheme="minorHAnsi"/>
          <w:sz w:val="28"/>
        </w:rPr>
      </w:pPr>
    </w:p>
    <w:p w:rsidR="000300A1" w:rsidRPr="007F6681" w:rsidRDefault="000300A1" w:rsidP="00725E33">
      <w:pPr>
        <w:ind w:left="1418" w:hanging="425"/>
        <w:rPr>
          <w:rFonts w:asciiTheme="minorHAnsi" w:hAnsiTheme="minorHAnsi" w:cs="Arial"/>
          <w:b/>
        </w:rPr>
      </w:pPr>
      <w:r w:rsidRPr="007F6681">
        <w:rPr>
          <w:rFonts w:asciiTheme="minorHAnsi" w:hAnsiTheme="minorHAnsi" w:cs="Arial"/>
          <w:b/>
        </w:rPr>
        <w:t xml:space="preserve">De:        </w:t>
      </w:r>
      <w:r w:rsidR="00772C46" w:rsidRPr="007F6681">
        <w:rPr>
          <w:rFonts w:asciiTheme="minorHAnsi" w:hAnsiTheme="minorHAnsi" w:cs="Arial"/>
          <w:b/>
        </w:rPr>
        <w:tab/>
      </w:r>
      <w:r w:rsidR="00D4327D" w:rsidRPr="007F6681">
        <w:rPr>
          <w:rFonts w:asciiTheme="minorHAnsi" w:hAnsiTheme="minorHAnsi" w:cs="Arial"/>
          <w:b/>
        </w:rPr>
        <w:t>Lic.  Wilbert Kidd Alvarado</w:t>
      </w:r>
    </w:p>
    <w:p w:rsidR="000300A1" w:rsidRPr="007F6681" w:rsidRDefault="000300A1" w:rsidP="00725E33">
      <w:pPr>
        <w:ind w:left="1418" w:hanging="425"/>
        <w:rPr>
          <w:rFonts w:asciiTheme="minorHAnsi" w:hAnsiTheme="minorHAnsi" w:cs="Arial"/>
          <w:b/>
        </w:rPr>
      </w:pPr>
      <w:r w:rsidRPr="007F6681">
        <w:rPr>
          <w:rFonts w:asciiTheme="minorHAnsi" w:hAnsiTheme="minorHAnsi" w:cs="Arial"/>
          <w:b/>
        </w:rPr>
        <w:t xml:space="preserve">              </w:t>
      </w:r>
      <w:r w:rsidR="00772C46" w:rsidRPr="007F6681">
        <w:rPr>
          <w:rFonts w:asciiTheme="minorHAnsi" w:hAnsiTheme="minorHAnsi" w:cs="Arial"/>
          <w:b/>
        </w:rPr>
        <w:tab/>
      </w:r>
      <w:r w:rsidR="005507D5" w:rsidRPr="007F6681">
        <w:rPr>
          <w:rFonts w:asciiTheme="minorHAnsi" w:hAnsiTheme="minorHAnsi" w:cs="Arial"/>
          <w:b/>
        </w:rPr>
        <w:t>Jef</w:t>
      </w:r>
      <w:r w:rsidR="00156EF8" w:rsidRPr="007F6681">
        <w:rPr>
          <w:rFonts w:asciiTheme="minorHAnsi" w:hAnsiTheme="minorHAnsi" w:cs="Arial"/>
          <w:b/>
        </w:rPr>
        <w:t>e</w:t>
      </w:r>
      <w:r w:rsidR="005507D5" w:rsidRPr="007F6681">
        <w:rPr>
          <w:rFonts w:asciiTheme="minorHAnsi" w:hAnsiTheme="minorHAnsi" w:cs="Arial"/>
          <w:b/>
        </w:rPr>
        <w:t xml:space="preserve"> a.í.</w:t>
      </w:r>
      <w:r w:rsidRPr="007F6681">
        <w:rPr>
          <w:rFonts w:asciiTheme="minorHAnsi" w:hAnsiTheme="minorHAnsi" w:cs="Arial"/>
          <w:b/>
        </w:rPr>
        <w:t xml:space="preserve"> Departamento de Proveeduría</w:t>
      </w:r>
    </w:p>
    <w:p w:rsidR="000300A1" w:rsidRPr="007F6681" w:rsidRDefault="000300A1" w:rsidP="00725E33">
      <w:pPr>
        <w:ind w:left="1418" w:hanging="425"/>
        <w:rPr>
          <w:rFonts w:asciiTheme="minorHAnsi" w:hAnsiTheme="minorHAnsi" w:cs="Arial"/>
          <w:b/>
        </w:rPr>
      </w:pPr>
    </w:p>
    <w:p w:rsidR="000300A1" w:rsidRPr="007F6681" w:rsidRDefault="000300A1" w:rsidP="00725E33">
      <w:pPr>
        <w:ind w:left="2121" w:hanging="1136"/>
        <w:rPr>
          <w:rFonts w:asciiTheme="minorHAnsi" w:hAnsiTheme="minorHAnsi" w:cs="Arial"/>
          <w:b/>
        </w:rPr>
      </w:pPr>
      <w:r w:rsidRPr="007F6681">
        <w:rPr>
          <w:rFonts w:asciiTheme="minorHAnsi" w:hAnsiTheme="minorHAnsi" w:cs="Arial"/>
          <w:b/>
        </w:rPr>
        <w:t>Para:    </w:t>
      </w:r>
      <w:r w:rsidR="00772C46" w:rsidRPr="007F6681">
        <w:rPr>
          <w:rFonts w:asciiTheme="minorHAnsi" w:hAnsiTheme="minorHAnsi" w:cs="Arial"/>
          <w:b/>
        </w:rPr>
        <w:tab/>
      </w:r>
      <w:r w:rsidR="008F0BC9" w:rsidRPr="007F6681">
        <w:rPr>
          <w:rFonts w:asciiTheme="minorHAnsi" w:hAnsiTheme="minorHAnsi" w:cs="Arial"/>
          <w:b/>
        </w:rPr>
        <w:t>Administraciones Regionales</w:t>
      </w:r>
      <w:r w:rsidR="00B94EAB" w:rsidRPr="007F6681">
        <w:rPr>
          <w:rFonts w:asciiTheme="minorHAnsi" w:hAnsiTheme="minorHAnsi" w:cs="Arial"/>
          <w:b/>
        </w:rPr>
        <w:t xml:space="preserve"> de todo el país</w:t>
      </w:r>
    </w:p>
    <w:p w:rsidR="000300A1" w:rsidRPr="007F6681" w:rsidRDefault="00821623" w:rsidP="00725E33">
      <w:pPr>
        <w:ind w:left="1410" w:hanging="425"/>
        <w:rPr>
          <w:rFonts w:asciiTheme="minorHAnsi" w:hAnsiTheme="minorHAnsi" w:cs="Arial"/>
          <w:b/>
        </w:rPr>
      </w:pPr>
      <w:r w:rsidRPr="007F6681">
        <w:rPr>
          <w:rFonts w:asciiTheme="minorHAnsi" w:hAnsiTheme="minorHAnsi" w:cs="Arial"/>
          <w:b/>
        </w:rPr>
        <w:tab/>
      </w:r>
    </w:p>
    <w:p w:rsidR="00F62B76" w:rsidRPr="007F6681" w:rsidRDefault="000300A1" w:rsidP="00167CB8">
      <w:pPr>
        <w:ind w:left="2121" w:hanging="1128"/>
        <w:rPr>
          <w:rFonts w:asciiTheme="minorHAnsi" w:hAnsiTheme="minorHAnsi" w:cs="Arial"/>
          <w:i/>
        </w:rPr>
      </w:pPr>
      <w:r w:rsidRPr="007F6681">
        <w:rPr>
          <w:rFonts w:asciiTheme="minorHAnsi" w:hAnsiTheme="minorHAnsi" w:cs="Arial"/>
          <w:b/>
        </w:rPr>
        <w:t xml:space="preserve">Asunto: </w:t>
      </w:r>
      <w:r w:rsidR="00772C46" w:rsidRPr="007F6681">
        <w:rPr>
          <w:rFonts w:asciiTheme="minorHAnsi" w:hAnsiTheme="minorHAnsi" w:cs="Arial"/>
          <w:b/>
        </w:rPr>
        <w:tab/>
      </w:r>
      <w:r w:rsidR="00727082" w:rsidRPr="007F6681">
        <w:rPr>
          <w:rFonts w:asciiTheme="minorHAnsi" w:hAnsiTheme="minorHAnsi" w:cs="Arial"/>
          <w:b/>
        </w:rPr>
        <w:t>Actas de donación y destrucción de activos.</w:t>
      </w:r>
    </w:p>
    <w:p w:rsidR="00167CB8" w:rsidRPr="007F6681" w:rsidRDefault="00167CB8" w:rsidP="00167CB8">
      <w:pPr>
        <w:ind w:left="2121" w:hanging="1128"/>
        <w:rPr>
          <w:rFonts w:asciiTheme="minorHAnsi" w:hAnsiTheme="minorHAnsi"/>
          <w:b/>
        </w:rPr>
      </w:pPr>
    </w:p>
    <w:p w:rsidR="000300A1" w:rsidRPr="007F6681" w:rsidRDefault="000300A1" w:rsidP="00DE62A8">
      <w:pPr>
        <w:ind w:left="1418" w:hanging="425"/>
        <w:rPr>
          <w:rFonts w:asciiTheme="minorHAnsi" w:hAnsiTheme="minorHAnsi"/>
          <w:b/>
        </w:rPr>
      </w:pPr>
      <w:r w:rsidRPr="007F6681">
        <w:rPr>
          <w:rFonts w:asciiTheme="minorHAnsi" w:hAnsiTheme="minorHAnsi"/>
          <w:b/>
        </w:rPr>
        <w:t xml:space="preserve">Fecha:   </w:t>
      </w:r>
      <w:r w:rsidR="00772C46" w:rsidRPr="007F6681">
        <w:rPr>
          <w:rFonts w:asciiTheme="minorHAnsi" w:hAnsiTheme="minorHAnsi"/>
          <w:b/>
        </w:rPr>
        <w:tab/>
      </w:r>
      <w:r w:rsidR="00CF36FF">
        <w:rPr>
          <w:rFonts w:asciiTheme="minorHAnsi" w:hAnsiTheme="minorHAnsi"/>
        </w:rPr>
        <w:t>17</w:t>
      </w:r>
      <w:r w:rsidR="00167CB8" w:rsidRPr="007F6681">
        <w:rPr>
          <w:rFonts w:asciiTheme="minorHAnsi" w:hAnsiTheme="minorHAnsi"/>
        </w:rPr>
        <w:t xml:space="preserve"> de </w:t>
      </w:r>
      <w:r w:rsidR="00D82FE9" w:rsidRPr="007F6681">
        <w:rPr>
          <w:rFonts w:asciiTheme="minorHAnsi" w:hAnsiTheme="minorHAnsi"/>
        </w:rPr>
        <w:t>enero</w:t>
      </w:r>
      <w:r w:rsidR="00AB4BD0">
        <w:rPr>
          <w:rFonts w:asciiTheme="minorHAnsi" w:hAnsiTheme="minorHAnsi"/>
        </w:rPr>
        <w:t xml:space="preserve"> de 2018</w:t>
      </w:r>
      <w:r w:rsidR="00167CB8" w:rsidRPr="007F6681">
        <w:rPr>
          <w:rFonts w:asciiTheme="minorHAnsi" w:hAnsiTheme="minorHAnsi"/>
        </w:rPr>
        <w:t>.</w:t>
      </w:r>
      <w:r w:rsidRPr="007F6681">
        <w:rPr>
          <w:rFonts w:asciiTheme="minorHAnsi" w:hAnsiTheme="minorHAnsi"/>
          <w:b/>
        </w:rPr>
        <w:t xml:space="preserve">                                         </w:t>
      </w:r>
    </w:p>
    <w:p w:rsidR="000300A1" w:rsidRPr="002B6857" w:rsidRDefault="000300A1" w:rsidP="003C737D">
      <w:pPr>
        <w:ind w:left="426"/>
        <w:jc w:val="center"/>
        <w:rPr>
          <w:sz w:val="18"/>
          <w:szCs w:val="20"/>
        </w:rPr>
      </w:pPr>
      <w:r w:rsidRPr="002B6857">
        <w:rPr>
          <w:sz w:val="18"/>
          <w:szCs w:val="20"/>
        </w:rPr>
        <w:t>_________________________________________________________</w:t>
      </w:r>
      <w:r w:rsidR="003C737D">
        <w:rPr>
          <w:sz w:val="18"/>
          <w:szCs w:val="20"/>
        </w:rPr>
        <w:softHyphen/>
      </w:r>
      <w:r w:rsidR="003C737D">
        <w:rPr>
          <w:sz w:val="18"/>
          <w:szCs w:val="20"/>
        </w:rPr>
        <w:softHyphen/>
      </w:r>
      <w:r w:rsidR="003C737D">
        <w:rPr>
          <w:sz w:val="18"/>
          <w:szCs w:val="20"/>
        </w:rPr>
        <w:softHyphen/>
      </w:r>
      <w:r w:rsidR="003C737D">
        <w:rPr>
          <w:sz w:val="18"/>
          <w:szCs w:val="20"/>
        </w:rPr>
        <w:softHyphen/>
      </w:r>
      <w:r w:rsidR="003C737D">
        <w:rPr>
          <w:sz w:val="18"/>
          <w:szCs w:val="20"/>
        </w:rPr>
        <w:softHyphen/>
      </w:r>
      <w:r w:rsidRPr="002B6857">
        <w:rPr>
          <w:sz w:val="18"/>
          <w:szCs w:val="20"/>
        </w:rPr>
        <w:t>_________________</w:t>
      </w:r>
      <w:r w:rsidR="00AA63AF" w:rsidRPr="002B6857">
        <w:rPr>
          <w:sz w:val="18"/>
          <w:szCs w:val="20"/>
        </w:rPr>
        <w:t>_________________</w:t>
      </w:r>
      <w:r w:rsidRPr="002B6857">
        <w:rPr>
          <w:sz w:val="18"/>
          <w:szCs w:val="20"/>
        </w:rPr>
        <w:t>_</w:t>
      </w:r>
    </w:p>
    <w:p w:rsidR="000300A1" w:rsidRPr="002B6857" w:rsidRDefault="000300A1" w:rsidP="000300A1">
      <w:pPr>
        <w:rPr>
          <w:sz w:val="22"/>
        </w:rPr>
      </w:pPr>
    </w:p>
    <w:p w:rsidR="00E0244D" w:rsidRDefault="00AD6DCD" w:rsidP="00454800">
      <w:pPr>
        <w:ind w:left="567" w:right="273"/>
        <w:jc w:val="both"/>
        <w:rPr>
          <w:rFonts w:asciiTheme="minorHAnsi" w:hAnsiTheme="minorHAnsi"/>
          <w:color w:val="000000"/>
        </w:rPr>
      </w:pPr>
      <w:r w:rsidRPr="007F6681">
        <w:rPr>
          <w:rFonts w:asciiTheme="minorHAnsi" w:hAnsiTheme="minorHAnsi"/>
        </w:rPr>
        <w:t xml:space="preserve">Se les recuerda a los encargados del control de activos de las diferentes </w:t>
      </w:r>
      <w:r w:rsidR="00C21CA2" w:rsidRPr="007F6681">
        <w:rPr>
          <w:rFonts w:asciiTheme="minorHAnsi" w:hAnsiTheme="minorHAnsi"/>
        </w:rPr>
        <w:t xml:space="preserve">Administraciones Regionales </w:t>
      </w:r>
      <w:r w:rsidR="007A46FB" w:rsidRPr="007F6681">
        <w:rPr>
          <w:rFonts w:asciiTheme="minorHAnsi" w:hAnsiTheme="minorHAnsi"/>
        </w:rPr>
        <w:t xml:space="preserve"> la responsabilidad </w:t>
      </w:r>
      <w:r w:rsidR="003C737D">
        <w:rPr>
          <w:rFonts w:asciiTheme="minorHAnsi" w:hAnsiTheme="minorHAnsi"/>
        </w:rPr>
        <w:t>de</w:t>
      </w:r>
      <w:r w:rsidR="00683BF7" w:rsidRPr="007F6681">
        <w:rPr>
          <w:rFonts w:asciiTheme="minorHAnsi" w:hAnsiTheme="minorHAnsi"/>
          <w:color w:val="000000"/>
        </w:rPr>
        <w:t xml:space="preserve"> mantener actualizado el inventario de activos y los registros en el SICA-PJ,</w:t>
      </w:r>
      <w:r w:rsidR="00D42A9A" w:rsidRPr="007F6681">
        <w:rPr>
          <w:rFonts w:asciiTheme="minorHAnsi" w:hAnsiTheme="minorHAnsi"/>
          <w:color w:val="000000"/>
        </w:rPr>
        <w:t xml:space="preserve"> según se establece en el artículo</w:t>
      </w:r>
      <w:r w:rsidR="00EC31C0" w:rsidRPr="007F6681">
        <w:rPr>
          <w:rFonts w:asciiTheme="minorHAnsi" w:hAnsiTheme="minorHAnsi"/>
          <w:color w:val="000000"/>
        </w:rPr>
        <w:t xml:space="preserve"> </w:t>
      </w:r>
      <w:r w:rsidR="00454800">
        <w:rPr>
          <w:rFonts w:asciiTheme="minorHAnsi" w:hAnsiTheme="minorHAnsi"/>
          <w:color w:val="000000"/>
        </w:rPr>
        <w:t>19</w:t>
      </w:r>
      <w:r w:rsidR="00EC31C0" w:rsidRPr="007F6681">
        <w:rPr>
          <w:rFonts w:asciiTheme="minorHAnsi" w:hAnsiTheme="minorHAnsi"/>
          <w:color w:val="000000"/>
        </w:rPr>
        <w:t xml:space="preserve"> del Reglamento</w:t>
      </w:r>
      <w:r w:rsidR="00454800">
        <w:rPr>
          <w:rFonts w:asciiTheme="minorHAnsi" w:hAnsiTheme="minorHAnsi"/>
          <w:color w:val="000000"/>
        </w:rPr>
        <w:t xml:space="preserve"> para el Registro, control y uso de activos institucionales del PJ:</w:t>
      </w:r>
    </w:p>
    <w:p w:rsidR="00454800" w:rsidRDefault="00454800" w:rsidP="00454800">
      <w:pPr>
        <w:ind w:left="567" w:right="273"/>
        <w:jc w:val="both"/>
        <w:rPr>
          <w:rFonts w:asciiTheme="minorHAnsi" w:hAnsiTheme="minorHAnsi"/>
          <w:color w:val="000000"/>
        </w:rPr>
      </w:pPr>
    </w:p>
    <w:p w:rsidR="00EC31C0" w:rsidRPr="00454800" w:rsidRDefault="00E0244D" w:rsidP="00454800">
      <w:pPr>
        <w:pStyle w:val="section1"/>
        <w:autoSpaceDE w:val="0"/>
        <w:autoSpaceDN w:val="0"/>
        <w:spacing w:before="120" w:beforeAutospacing="0" w:after="120" w:afterAutospacing="0"/>
        <w:ind w:left="851" w:right="567"/>
        <w:jc w:val="both"/>
        <w:rPr>
          <w:rFonts w:asciiTheme="minorHAnsi" w:hAnsiTheme="minorHAnsi"/>
          <w:i/>
          <w:sz w:val="22"/>
          <w:szCs w:val="22"/>
        </w:rPr>
      </w:pPr>
      <w:r w:rsidRPr="00A8506B">
        <w:rPr>
          <w:rFonts w:asciiTheme="minorHAnsi" w:hAnsiTheme="minorHAnsi"/>
          <w:b/>
          <w:bCs/>
          <w:i/>
        </w:rPr>
        <w:t>Artículo 19. Registro de Bienes.</w:t>
      </w:r>
      <w:r w:rsidRPr="00A8506B">
        <w:rPr>
          <w:rFonts w:asciiTheme="minorHAnsi" w:hAnsiTheme="minorHAnsi"/>
          <w:i/>
        </w:rPr>
        <w:t xml:space="preserve"> Será responsabilidad del Departamento de Proveeduría, las Administraciones Regionales y Administraciones de Programas Auxiliares de Justicia, mantener un registro actualizado de los bienes en poder de la institución.</w:t>
      </w:r>
    </w:p>
    <w:p w:rsidR="00454800" w:rsidRDefault="00454800" w:rsidP="00EC31C0">
      <w:pPr>
        <w:ind w:left="567" w:right="273"/>
        <w:jc w:val="both"/>
        <w:rPr>
          <w:rFonts w:asciiTheme="minorHAnsi" w:hAnsiTheme="minorHAnsi"/>
          <w:color w:val="000000"/>
        </w:rPr>
      </w:pPr>
    </w:p>
    <w:p w:rsidR="00C21CA2" w:rsidRPr="007F6681" w:rsidRDefault="00EC31C0" w:rsidP="00EC31C0">
      <w:pPr>
        <w:ind w:left="567" w:right="273"/>
        <w:jc w:val="both"/>
        <w:rPr>
          <w:rFonts w:asciiTheme="minorHAnsi" w:hAnsiTheme="minorHAnsi"/>
          <w:color w:val="000000"/>
        </w:rPr>
      </w:pPr>
      <w:r w:rsidRPr="007F6681">
        <w:rPr>
          <w:rFonts w:asciiTheme="minorHAnsi" w:hAnsiTheme="minorHAnsi"/>
          <w:color w:val="000000"/>
        </w:rPr>
        <w:t xml:space="preserve">Por lo anterior se les otorgará un plazo máximo de </w:t>
      </w:r>
      <w:r w:rsidR="005C5A0C" w:rsidRPr="00F4054D">
        <w:rPr>
          <w:rFonts w:asciiTheme="minorHAnsi" w:hAnsiTheme="minorHAnsi"/>
          <w:color w:val="000000"/>
          <w:u w:val="single"/>
        </w:rPr>
        <w:t>10</w:t>
      </w:r>
      <w:r w:rsidRPr="00F4054D">
        <w:rPr>
          <w:rFonts w:asciiTheme="minorHAnsi" w:hAnsiTheme="minorHAnsi"/>
          <w:color w:val="000000"/>
          <w:u w:val="single"/>
        </w:rPr>
        <w:t xml:space="preserve"> días hábiles</w:t>
      </w:r>
      <w:r w:rsidRPr="007F6681">
        <w:rPr>
          <w:rFonts w:asciiTheme="minorHAnsi" w:hAnsiTheme="minorHAnsi"/>
          <w:color w:val="000000"/>
        </w:rPr>
        <w:t xml:space="preserve"> para</w:t>
      </w:r>
      <w:r w:rsidR="00683BF7" w:rsidRPr="007F6681">
        <w:rPr>
          <w:rFonts w:asciiTheme="minorHAnsi" w:hAnsiTheme="minorHAnsi"/>
          <w:color w:val="000000"/>
        </w:rPr>
        <w:t xml:space="preserve"> remitir las actas de donación y/o destrucción con las firmas correspondientes, una vez emitida la resolución de autorización por parte del Departamento de Proveeduría. De no cumplir con dicha disposición, no se aprobarán otros trámites de igual naturaleza y se comunicará lo necesario a la Dirección Ejecutiva.</w:t>
      </w:r>
    </w:p>
    <w:p w:rsidR="007A3A0F" w:rsidRPr="007F6681" w:rsidRDefault="007A3A0F" w:rsidP="00EC31C0">
      <w:pPr>
        <w:ind w:left="567" w:right="273"/>
        <w:jc w:val="both"/>
        <w:rPr>
          <w:rFonts w:asciiTheme="minorHAnsi" w:hAnsiTheme="minorHAnsi"/>
          <w:color w:val="000000"/>
        </w:rPr>
      </w:pPr>
    </w:p>
    <w:p w:rsidR="00245608" w:rsidRPr="007F6681" w:rsidRDefault="00056B0F" w:rsidP="00D82FE9">
      <w:pPr>
        <w:ind w:left="567" w:right="273"/>
        <w:jc w:val="both"/>
        <w:rPr>
          <w:rFonts w:asciiTheme="minorHAnsi" w:hAnsiTheme="minorHAnsi"/>
        </w:rPr>
      </w:pPr>
      <w:r w:rsidRPr="007F6681">
        <w:rPr>
          <w:rFonts w:asciiTheme="minorHAnsi" w:hAnsiTheme="minorHAnsi"/>
        </w:rPr>
        <w:t xml:space="preserve">De igual forma se solicita que en el acta final, </w:t>
      </w:r>
      <w:r w:rsidR="0024580A" w:rsidRPr="007F6681">
        <w:rPr>
          <w:rFonts w:asciiTheme="minorHAnsi" w:hAnsiTheme="minorHAnsi"/>
        </w:rPr>
        <w:t>se indique el listado de activos que fueron destruidos y/o donados</w:t>
      </w:r>
      <w:r w:rsidR="002B4A38" w:rsidRPr="007F6681">
        <w:rPr>
          <w:rFonts w:asciiTheme="minorHAnsi" w:hAnsiTheme="minorHAnsi"/>
        </w:rPr>
        <w:t>,</w:t>
      </w:r>
      <w:r w:rsidR="0024580A" w:rsidRPr="007F6681">
        <w:rPr>
          <w:rFonts w:asciiTheme="minorHAnsi" w:hAnsiTheme="minorHAnsi"/>
        </w:rPr>
        <w:t xml:space="preserve"> utilizando el </w:t>
      </w:r>
      <w:r w:rsidR="0024580A" w:rsidRPr="00A17A5E">
        <w:rPr>
          <w:rFonts w:asciiTheme="minorHAnsi" w:hAnsiTheme="minorHAnsi"/>
          <w:u w:val="single"/>
        </w:rPr>
        <w:t xml:space="preserve">reporte de bajas </w:t>
      </w:r>
      <w:r w:rsidR="0024580A" w:rsidRPr="007F6681">
        <w:rPr>
          <w:rFonts w:asciiTheme="minorHAnsi" w:hAnsiTheme="minorHAnsi"/>
        </w:rPr>
        <w:t>del SICA-PJ</w:t>
      </w:r>
      <w:r w:rsidR="002B4A38" w:rsidRPr="007F6681">
        <w:rPr>
          <w:rFonts w:asciiTheme="minorHAnsi" w:hAnsiTheme="minorHAnsi"/>
        </w:rPr>
        <w:t xml:space="preserve">, ya que este reporte extrae los datos </w:t>
      </w:r>
      <w:r w:rsidR="00245608" w:rsidRPr="007F6681">
        <w:rPr>
          <w:rFonts w:asciiTheme="minorHAnsi" w:hAnsiTheme="minorHAnsi"/>
        </w:rPr>
        <w:t>de forma ordenada y con las características precisas según registros en el sistema.</w:t>
      </w:r>
    </w:p>
    <w:p w:rsidR="00245608" w:rsidRPr="007F6681" w:rsidRDefault="00245608" w:rsidP="00D82FE9">
      <w:pPr>
        <w:ind w:left="567" w:right="273"/>
        <w:jc w:val="both"/>
        <w:rPr>
          <w:rFonts w:asciiTheme="minorHAnsi" w:hAnsiTheme="minorHAnsi"/>
        </w:rPr>
      </w:pPr>
    </w:p>
    <w:p w:rsidR="002B6857" w:rsidRPr="007F6681" w:rsidRDefault="00245608" w:rsidP="00B91AB8">
      <w:pPr>
        <w:ind w:left="567" w:right="273"/>
        <w:jc w:val="both"/>
        <w:rPr>
          <w:rFonts w:asciiTheme="minorHAnsi" w:hAnsiTheme="minorHAnsi"/>
        </w:rPr>
      </w:pPr>
      <w:r w:rsidRPr="007F6681">
        <w:rPr>
          <w:rFonts w:asciiTheme="minorHAnsi" w:hAnsiTheme="minorHAnsi"/>
        </w:rPr>
        <w:t>Cualquier</w:t>
      </w:r>
      <w:r w:rsidR="00F7252D" w:rsidRPr="007F6681">
        <w:rPr>
          <w:rFonts w:asciiTheme="minorHAnsi" w:hAnsiTheme="minorHAnsi"/>
        </w:rPr>
        <w:t xml:space="preserve"> consulta en relación a dichos trámites la pueden canalizar a través del compañero Gerardo Rodríguez Navarro, quien atiende el correo de: </w:t>
      </w:r>
      <w:hyperlink r:id="rId6" w:history="1">
        <w:r w:rsidR="00B91AB8" w:rsidRPr="007F6681">
          <w:rPr>
            <w:rStyle w:val="Hipervnculo"/>
            <w:rFonts w:asciiTheme="minorHAnsi" w:hAnsiTheme="minorHAnsi"/>
          </w:rPr>
          <w:t>activospj@poder-judicial.go.cr</w:t>
        </w:r>
      </w:hyperlink>
      <w:r w:rsidR="00B91AB8" w:rsidRPr="007F6681">
        <w:rPr>
          <w:rFonts w:asciiTheme="minorHAnsi" w:hAnsiTheme="minorHAnsi"/>
        </w:rPr>
        <w:t xml:space="preserve"> y se encuentra en la extensión 01</w:t>
      </w:r>
      <w:r w:rsidR="0029799A" w:rsidRPr="007F6681">
        <w:rPr>
          <w:rFonts w:asciiTheme="minorHAnsi" w:hAnsiTheme="minorHAnsi"/>
        </w:rPr>
        <w:t>-3575</w:t>
      </w:r>
      <w:r w:rsidRPr="007F6681">
        <w:rPr>
          <w:rFonts w:asciiTheme="minorHAnsi" w:hAnsiTheme="minorHAnsi"/>
        </w:rPr>
        <w:t xml:space="preserve"> </w:t>
      </w:r>
    </w:p>
    <w:p w:rsidR="002B6857" w:rsidRPr="007F6681" w:rsidRDefault="002B6857" w:rsidP="002B6857">
      <w:pPr>
        <w:ind w:right="273"/>
        <w:jc w:val="both"/>
        <w:rPr>
          <w:rFonts w:asciiTheme="minorHAnsi" w:hAnsiTheme="minorHAnsi"/>
        </w:rPr>
      </w:pPr>
    </w:p>
    <w:p w:rsidR="00BD10AF" w:rsidRDefault="00BD10AF" w:rsidP="002B6857">
      <w:pPr>
        <w:pBdr>
          <w:bottom w:val="single" w:sz="12" w:space="1" w:color="auto"/>
        </w:pBdr>
        <w:tabs>
          <w:tab w:val="left" w:pos="567"/>
        </w:tabs>
        <w:jc w:val="both"/>
        <w:rPr>
          <w:sz w:val="22"/>
        </w:rPr>
      </w:pPr>
    </w:p>
    <w:p w:rsidR="002B6857" w:rsidRDefault="002B6857" w:rsidP="002B6857">
      <w:pPr>
        <w:pBdr>
          <w:bottom w:val="single" w:sz="12" w:space="1" w:color="auto"/>
        </w:pBdr>
        <w:tabs>
          <w:tab w:val="left" w:pos="567"/>
        </w:tabs>
        <w:jc w:val="both"/>
        <w:rPr>
          <w:sz w:val="22"/>
        </w:rPr>
      </w:pPr>
    </w:p>
    <w:p w:rsidR="00BD10AF" w:rsidRPr="002B6857" w:rsidRDefault="00BD10AF" w:rsidP="002B6857">
      <w:pPr>
        <w:pBdr>
          <w:bottom w:val="single" w:sz="12" w:space="1" w:color="auto"/>
        </w:pBdr>
        <w:tabs>
          <w:tab w:val="left" w:pos="567"/>
        </w:tabs>
        <w:jc w:val="both"/>
        <w:rPr>
          <w:sz w:val="22"/>
        </w:rPr>
      </w:pPr>
    </w:p>
    <w:p w:rsidR="00BD7695" w:rsidRPr="002B6857" w:rsidRDefault="00BD7695" w:rsidP="005F349B">
      <w:pPr>
        <w:tabs>
          <w:tab w:val="left" w:pos="567"/>
        </w:tabs>
        <w:jc w:val="both"/>
        <w:rPr>
          <w:sz w:val="22"/>
        </w:rPr>
      </w:pPr>
    </w:p>
    <w:p w:rsidR="00BD7695" w:rsidRPr="007F6681" w:rsidRDefault="00BD7695" w:rsidP="00BD7695">
      <w:pPr>
        <w:ind w:left="567"/>
        <w:rPr>
          <w:rFonts w:asciiTheme="minorHAnsi" w:hAnsiTheme="minorHAnsi"/>
          <w:sz w:val="16"/>
          <w:szCs w:val="16"/>
          <w:lang w:val="es-CR"/>
        </w:rPr>
      </w:pPr>
      <w:r w:rsidRPr="002B6857">
        <w:rPr>
          <w:rFonts w:ascii="Wingdings" w:hAnsi="Wingdings" w:cs="Wingdings"/>
          <w:szCs w:val="26"/>
          <w:lang w:val="es-CR"/>
        </w:rPr>
        <w:t></w:t>
      </w:r>
      <w:r w:rsidRPr="007F6681">
        <w:rPr>
          <w:rFonts w:asciiTheme="minorHAnsi" w:hAnsiTheme="minorHAnsi"/>
          <w:b/>
          <w:sz w:val="16"/>
          <w:szCs w:val="16"/>
          <w:lang w:val="es-CR"/>
        </w:rPr>
        <w:t>Elaborado  por:</w:t>
      </w:r>
      <w:r w:rsidRPr="007F6681">
        <w:rPr>
          <w:rFonts w:asciiTheme="minorHAnsi" w:hAnsiTheme="minorHAnsi"/>
          <w:sz w:val="16"/>
          <w:szCs w:val="16"/>
          <w:lang w:val="es-CR"/>
        </w:rPr>
        <w:t xml:space="preserve"> Lic. Luis Diego Sánchez García.</w:t>
      </w:r>
    </w:p>
    <w:p w:rsidR="00BD7695" w:rsidRPr="002B6857" w:rsidRDefault="00BD7695" w:rsidP="00BD7695">
      <w:pPr>
        <w:ind w:left="567"/>
        <w:rPr>
          <w:sz w:val="12"/>
          <w:szCs w:val="16"/>
          <w:lang w:val="es-CR"/>
        </w:rPr>
      </w:pPr>
      <w:r w:rsidRPr="002B6857">
        <w:rPr>
          <w:rFonts w:ascii="Wingdings" w:hAnsi="Wingdings" w:cs="Wingdings"/>
          <w:sz w:val="16"/>
          <w:szCs w:val="26"/>
          <w:lang w:val="es-CR"/>
        </w:rPr>
        <w:t></w:t>
      </w:r>
      <w:r w:rsidRPr="007F6681">
        <w:rPr>
          <w:rFonts w:asciiTheme="minorHAnsi" w:hAnsiTheme="minorHAnsi"/>
          <w:b/>
          <w:sz w:val="16"/>
          <w:szCs w:val="16"/>
          <w:lang w:val="es-CR"/>
        </w:rPr>
        <w:t>Copia:</w:t>
      </w:r>
      <w:r w:rsidRPr="007F6681">
        <w:rPr>
          <w:rFonts w:asciiTheme="minorHAnsi" w:hAnsiTheme="minorHAnsi"/>
          <w:sz w:val="16"/>
          <w:szCs w:val="16"/>
          <w:lang w:val="es-CR"/>
        </w:rPr>
        <w:t xml:space="preserve"> </w:t>
      </w:r>
      <w:r w:rsidR="00BD10AF">
        <w:rPr>
          <w:rFonts w:asciiTheme="minorHAnsi" w:hAnsiTheme="minorHAnsi"/>
          <w:sz w:val="16"/>
          <w:szCs w:val="16"/>
          <w:lang w:val="es-CR"/>
        </w:rPr>
        <w:t>Dirección Ejecutiva.</w:t>
      </w:r>
    </w:p>
    <w:p w:rsidR="00E7424D" w:rsidRPr="007F6681" w:rsidRDefault="00BD7695" w:rsidP="00E8083D">
      <w:pPr>
        <w:pStyle w:val="WW-Predeterminado1"/>
        <w:ind w:left="567"/>
        <w:rPr>
          <w:rFonts w:asciiTheme="minorHAnsi" w:hAnsiTheme="minorHAnsi"/>
          <w:sz w:val="14"/>
          <w:szCs w:val="16"/>
          <w:lang w:val="es-CR"/>
        </w:rPr>
      </w:pPr>
      <w:r w:rsidRPr="002B6857">
        <w:rPr>
          <w:rFonts w:ascii="Wingdings" w:hAnsi="Wingdings" w:cs="Wingdings"/>
          <w:sz w:val="16"/>
          <w:szCs w:val="26"/>
          <w:lang w:val="es-CR"/>
        </w:rPr>
        <w:t></w:t>
      </w:r>
      <w:r w:rsidRPr="002B6857">
        <w:rPr>
          <w:sz w:val="10"/>
          <w:szCs w:val="16"/>
          <w:lang w:val="es-CR"/>
        </w:rPr>
        <w:t xml:space="preserve"> </w:t>
      </w:r>
      <w:r w:rsidRPr="007F6681">
        <w:rPr>
          <w:rFonts w:asciiTheme="minorHAnsi" w:hAnsiTheme="minorHAnsi"/>
          <w:b/>
          <w:sz w:val="16"/>
          <w:szCs w:val="16"/>
          <w:lang w:val="es-CR"/>
        </w:rPr>
        <w:t>Diligencias:</w:t>
      </w:r>
      <w:r w:rsidRPr="007F6681">
        <w:rPr>
          <w:rFonts w:asciiTheme="minorHAnsi" w:hAnsiTheme="minorHAnsi"/>
          <w:sz w:val="16"/>
          <w:szCs w:val="16"/>
          <w:lang w:val="es-CR"/>
        </w:rPr>
        <w:t xml:space="preserve"> </w:t>
      </w:r>
      <w:r w:rsidRPr="007F6681">
        <w:rPr>
          <w:rFonts w:asciiTheme="minorHAnsi" w:hAnsiTheme="minorHAnsi" w:cs="Times New Roman"/>
          <w:sz w:val="16"/>
          <w:szCs w:val="16"/>
          <w:lang w:val="es-CR" w:eastAsia="es-ES"/>
        </w:rPr>
        <w:t>Proceso de Administración de Bienes.</w:t>
      </w:r>
    </w:p>
    <w:sectPr w:rsidR="00E7424D" w:rsidRPr="007F6681" w:rsidSect="00BD10AF">
      <w:pgSz w:w="11906" w:h="16838"/>
      <w:pgMar w:top="993" w:right="1133" w:bottom="170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1065"/>
        </w:tabs>
        <w:ind w:left="1065" w:hanging="705"/>
      </w:pPr>
    </w:lvl>
  </w:abstractNum>
  <w:abstractNum w:abstractNumId="2" w15:restartNumberingAfterBreak="0">
    <w:nsid w:val="20325688"/>
    <w:multiLevelType w:val="hybridMultilevel"/>
    <w:tmpl w:val="5B764D0C"/>
    <w:lvl w:ilvl="0" w:tplc="0C0A000F">
      <w:start w:val="1"/>
      <w:numFmt w:val="decimal"/>
      <w:pStyle w:val="Ttulo1"/>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CE21A1F"/>
    <w:multiLevelType w:val="hybridMultilevel"/>
    <w:tmpl w:val="7F845A44"/>
    <w:lvl w:ilvl="0" w:tplc="3EFCA916">
      <w:start w:val="1"/>
      <w:numFmt w:val="low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5100E1D"/>
    <w:multiLevelType w:val="hybridMultilevel"/>
    <w:tmpl w:val="631A6A50"/>
    <w:lvl w:ilvl="0" w:tplc="DE9237E2">
      <w:start w:val="1"/>
      <w:numFmt w:val="lowerLetter"/>
      <w:lvlText w:val="%1)"/>
      <w:lvlJc w:val="left"/>
      <w:pPr>
        <w:tabs>
          <w:tab w:val="num" w:pos="1410"/>
        </w:tabs>
        <w:ind w:left="1410" w:hanging="630"/>
      </w:pPr>
      <w:rPr>
        <w:rFonts w:hint="default"/>
        <w:b/>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5" w15:restartNumberingAfterBreak="0">
    <w:nsid w:val="63C30B7D"/>
    <w:multiLevelType w:val="hybridMultilevel"/>
    <w:tmpl w:val="3308342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300A1"/>
    <w:rsid w:val="00007B4A"/>
    <w:rsid w:val="00012988"/>
    <w:rsid w:val="00017EF7"/>
    <w:rsid w:val="00024A1B"/>
    <w:rsid w:val="000300A1"/>
    <w:rsid w:val="00056B0F"/>
    <w:rsid w:val="00097F06"/>
    <w:rsid w:val="000B4D36"/>
    <w:rsid w:val="000C6BAC"/>
    <w:rsid w:val="00103B85"/>
    <w:rsid w:val="001070EB"/>
    <w:rsid w:val="00122823"/>
    <w:rsid w:val="00132D12"/>
    <w:rsid w:val="00156EF8"/>
    <w:rsid w:val="00163868"/>
    <w:rsid w:val="00167CB8"/>
    <w:rsid w:val="00180F1F"/>
    <w:rsid w:val="001866F9"/>
    <w:rsid w:val="00190D86"/>
    <w:rsid w:val="001D4DA5"/>
    <w:rsid w:val="002043A3"/>
    <w:rsid w:val="0020500F"/>
    <w:rsid w:val="002109ED"/>
    <w:rsid w:val="002122E6"/>
    <w:rsid w:val="00245608"/>
    <w:rsid w:val="0024580A"/>
    <w:rsid w:val="002469BA"/>
    <w:rsid w:val="00275122"/>
    <w:rsid w:val="00284F0F"/>
    <w:rsid w:val="0029799A"/>
    <w:rsid w:val="002B4984"/>
    <w:rsid w:val="002B4A38"/>
    <w:rsid w:val="002B6857"/>
    <w:rsid w:val="002C2CA4"/>
    <w:rsid w:val="00315E94"/>
    <w:rsid w:val="00324A24"/>
    <w:rsid w:val="00352B81"/>
    <w:rsid w:val="00360544"/>
    <w:rsid w:val="003728C0"/>
    <w:rsid w:val="003760FE"/>
    <w:rsid w:val="00384900"/>
    <w:rsid w:val="003A26A4"/>
    <w:rsid w:val="003C6064"/>
    <w:rsid w:val="003C737D"/>
    <w:rsid w:val="003F3585"/>
    <w:rsid w:val="00421A5A"/>
    <w:rsid w:val="00454800"/>
    <w:rsid w:val="004744B7"/>
    <w:rsid w:val="00493263"/>
    <w:rsid w:val="004A1495"/>
    <w:rsid w:val="004B2BB0"/>
    <w:rsid w:val="004D6D37"/>
    <w:rsid w:val="00513622"/>
    <w:rsid w:val="005507D5"/>
    <w:rsid w:val="00573730"/>
    <w:rsid w:val="00576704"/>
    <w:rsid w:val="0058513E"/>
    <w:rsid w:val="0059381C"/>
    <w:rsid w:val="005A795E"/>
    <w:rsid w:val="005B11EF"/>
    <w:rsid w:val="005C4DA1"/>
    <w:rsid w:val="005C5A0C"/>
    <w:rsid w:val="005D186D"/>
    <w:rsid w:val="005E08A4"/>
    <w:rsid w:val="005F349B"/>
    <w:rsid w:val="006015FD"/>
    <w:rsid w:val="00617A66"/>
    <w:rsid w:val="006709AF"/>
    <w:rsid w:val="00672C45"/>
    <w:rsid w:val="00683BF7"/>
    <w:rsid w:val="00694AE2"/>
    <w:rsid w:val="006A40B1"/>
    <w:rsid w:val="006A5FDB"/>
    <w:rsid w:val="006B1807"/>
    <w:rsid w:val="006F49C5"/>
    <w:rsid w:val="00717BA3"/>
    <w:rsid w:val="00725E33"/>
    <w:rsid w:val="00727082"/>
    <w:rsid w:val="007514B6"/>
    <w:rsid w:val="007677FC"/>
    <w:rsid w:val="00772C46"/>
    <w:rsid w:val="00774C2B"/>
    <w:rsid w:val="0079042C"/>
    <w:rsid w:val="007A29E0"/>
    <w:rsid w:val="007A3A0F"/>
    <w:rsid w:val="007A46FB"/>
    <w:rsid w:val="007D39A5"/>
    <w:rsid w:val="007D71D1"/>
    <w:rsid w:val="007F6681"/>
    <w:rsid w:val="008000BA"/>
    <w:rsid w:val="0080762B"/>
    <w:rsid w:val="00821623"/>
    <w:rsid w:val="00872D29"/>
    <w:rsid w:val="008756C7"/>
    <w:rsid w:val="008861B9"/>
    <w:rsid w:val="00890431"/>
    <w:rsid w:val="00896159"/>
    <w:rsid w:val="008F0BC9"/>
    <w:rsid w:val="009422BB"/>
    <w:rsid w:val="00963AF3"/>
    <w:rsid w:val="009902BB"/>
    <w:rsid w:val="009C445E"/>
    <w:rsid w:val="009E0708"/>
    <w:rsid w:val="009E515F"/>
    <w:rsid w:val="00A17A5E"/>
    <w:rsid w:val="00A24FD2"/>
    <w:rsid w:val="00A409AB"/>
    <w:rsid w:val="00A54A53"/>
    <w:rsid w:val="00A56DD3"/>
    <w:rsid w:val="00A7227A"/>
    <w:rsid w:val="00A74D40"/>
    <w:rsid w:val="00A8506B"/>
    <w:rsid w:val="00A9783B"/>
    <w:rsid w:val="00AA4010"/>
    <w:rsid w:val="00AA63AF"/>
    <w:rsid w:val="00AB2E6F"/>
    <w:rsid w:val="00AB4BD0"/>
    <w:rsid w:val="00AB6A8F"/>
    <w:rsid w:val="00AC27E5"/>
    <w:rsid w:val="00AD6DCD"/>
    <w:rsid w:val="00AE44D6"/>
    <w:rsid w:val="00AF15AF"/>
    <w:rsid w:val="00B11E61"/>
    <w:rsid w:val="00B269FA"/>
    <w:rsid w:val="00B32552"/>
    <w:rsid w:val="00B3382C"/>
    <w:rsid w:val="00B33B63"/>
    <w:rsid w:val="00B50983"/>
    <w:rsid w:val="00B745DF"/>
    <w:rsid w:val="00B861BA"/>
    <w:rsid w:val="00B91AB8"/>
    <w:rsid w:val="00B94EAB"/>
    <w:rsid w:val="00BB5366"/>
    <w:rsid w:val="00BC16AE"/>
    <w:rsid w:val="00BD10AF"/>
    <w:rsid w:val="00BD7695"/>
    <w:rsid w:val="00C21CA2"/>
    <w:rsid w:val="00C514AB"/>
    <w:rsid w:val="00C5694A"/>
    <w:rsid w:val="00C71C67"/>
    <w:rsid w:val="00CB45F3"/>
    <w:rsid w:val="00CC31FB"/>
    <w:rsid w:val="00CE7EFD"/>
    <w:rsid w:val="00CF36FF"/>
    <w:rsid w:val="00D068EB"/>
    <w:rsid w:val="00D134EF"/>
    <w:rsid w:val="00D30D77"/>
    <w:rsid w:val="00D3697A"/>
    <w:rsid w:val="00D42A9A"/>
    <w:rsid w:val="00D4327D"/>
    <w:rsid w:val="00D82FE9"/>
    <w:rsid w:val="00D8367F"/>
    <w:rsid w:val="00D931BE"/>
    <w:rsid w:val="00DA7E80"/>
    <w:rsid w:val="00DE62A8"/>
    <w:rsid w:val="00DF0B74"/>
    <w:rsid w:val="00DF4141"/>
    <w:rsid w:val="00E00A73"/>
    <w:rsid w:val="00E01FDB"/>
    <w:rsid w:val="00E0244D"/>
    <w:rsid w:val="00E31747"/>
    <w:rsid w:val="00E5794A"/>
    <w:rsid w:val="00E61AF5"/>
    <w:rsid w:val="00E65324"/>
    <w:rsid w:val="00E7424D"/>
    <w:rsid w:val="00E8083D"/>
    <w:rsid w:val="00EC31C0"/>
    <w:rsid w:val="00ED38C6"/>
    <w:rsid w:val="00EE0AA6"/>
    <w:rsid w:val="00F17C41"/>
    <w:rsid w:val="00F347B0"/>
    <w:rsid w:val="00F4054D"/>
    <w:rsid w:val="00F62B76"/>
    <w:rsid w:val="00F7252D"/>
    <w:rsid w:val="00FB4A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1D1017-11D3-4018-A922-FFC217D1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C45"/>
    <w:rPr>
      <w:sz w:val="24"/>
      <w:szCs w:val="24"/>
    </w:rPr>
  </w:style>
  <w:style w:type="paragraph" w:styleId="Ttulo1">
    <w:name w:val="heading 1"/>
    <w:basedOn w:val="Normal"/>
    <w:next w:val="Normal"/>
    <w:qFormat/>
    <w:rsid w:val="00E61AF5"/>
    <w:pPr>
      <w:keepNext/>
      <w:widowControl w:val="0"/>
      <w:numPr>
        <w:numId w:val="1"/>
      </w:numPr>
      <w:suppressAutoHyphens/>
      <w:jc w:val="center"/>
      <w:outlineLvl w:val="0"/>
    </w:pPr>
    <w:rPr>
      <w:rFonts w:ascii="Book Antiqua" w:hAnsi="Book Antiqua" w:cs="Book Antiqua"/>
      <w:b/>
      <w:i/>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300A1"/>
    <w:pPr>
      <w:jc w:val="center"/>
    </w:pPr>
    <w:rPr>
      <w:b/>
      <w:bCs/>
      <w:sz w:val="20"/>
      <w:szCs w:val="20"/>
    </w:rPr>
  </w:style>
  <w:style w:type="paragraph" w:styleId="Textoindependiente">
    <w:name w:val="Body Text"/>
    <w:basedOn w:val="Normal"/>
    <w:rsid w:val="00E61AF5"/>
    <w:pPr>
      <w:widowControl w:val="0"/>
      <w:suppressAutoHyphens/>
      <w:jc w:val="both"/>
    </w:pPr>
    <w:rPr>
      <w:rFonts w:ascii="Book Antiqua" w:hAnsi="Book Antiqua" w:cs="Book Antiqua"/>
      <w:b/>
      <w:bCs/>
      <w:i/>
      <w:szCs w:val="20"/>
      <w:lang w:val="es-ES_tradnl" w:eastAsia="ar-SA"/>
    </w:rPr>
  </w:style>
  <w:style w:type="paragraph" w:customStyle="1" w:styleId="Textoindependiente21">
    <w:name w:val="Texto independiente 21"/>
    <w:basedOn w:val="Normal"/>
    <w:rsid w:val="00E61AF5"/>
    <w:pPr>
      <w:widowControl w:val="0"/>
      <w:suppressAutoHyphens/>
      <w:jc w:val="both"/>
    </w:pPr>
    <w:rPr>
      <w:rFonts w:ascii="Book Antiqua" w:hAnsi="Book Antiqua" w:cs="Book Antiqua"/>
      <w:iCs/>
      <w:szCs w:val="20"/>
      <w:lang w:val="es-ES_tradnl" w:eastAsia="ar-SA"/>
    </w:rPr>
  </w:style>
  <w:style w:type="paragraph" w:customStyle="1" w:styleId="Noparagraphstyle">
    <w:name w:val="[No paragraph style]"/>
    <w:rsid w:val="00E61AF5"/>
    <w:pPr>
      <w:widowControl w:val="0"/>
      <w:suppressAutoHyphens/>
      <w:autoSpaceDE w:val="0"/>
      <w:spacing w:line="288" w:lineRule="auto"/>
    </w:pPr>
    <w:rPr>
      <w:color w:val="000000"/>
      <w:sz w:val="24"/>
      <w:szCs w:val="24"/>
      <w:lang w:eastAsia="ar-SA"/>
    </w:rPr>
  </w:style>
  <w:style w:type="paragraph" w:styleId="Fecha">
    <w:name w:val="Date"/>
    <w:basedOn w:val="Normal"/>
    <w:rsid w:val="00E61AF5"/>
    <w:rPr>
      <w:rFonts w:ascii="Courier New" w:hAnsi="Courier New"/>
      <w:szCs w:val="20"/>
      <w:lang w:val="es-ES_tradnl"/>
    </w:rPr>
  </w:style>
  <w:style w:type="character" w:styleId="Hipervnculo">
    <w:name w:val="Hyperlink"/>
    <w:rsid w:val="00E61AF5"/>
    <w:rPr>
      <w:color w:val="0000FF"/>
      <w:u w:val="single"/>
    </w:rPr>
  </w:style>
  <w:style w:type="character" w:styleId="Hipervnculovisitado">
    <w:name w:val="FollowedHyperlink"/>
    <w:rsid w:val="00E61AF5"/>
    <w:rPr>
      <w:color w:val="800080"/>
      <w:u w:val="single"/>
    </w:rPr>
  </w:style>
  <w:style w:type="paragraph" w:styleId="Textodeglobo">
    <w:name w:val="Balloon Text"/>
    <w:basedOn w:val="Normal"/>
    <w:link w:val="TextodegloboCar"/>
    <w:rsid w:val="001866F9"/>
    <w:rPr>
      <w:rFonts w:ascii="Tahoma" w:hAnsi="Tahoma"/>
      <w:sz w:val="16"/>
      <w:szCs w:val="16"/>
    </w:rPr>
  </w:style>
  <w:style w:type="character" w:customStyle="1" w:styleId="TextodegloboCar">
    <w:name w:val="Texto de globo Car"/>
    <w:link w:val="Textodeglobo"/>
    <w:rsid w:val="001866F9"/>
    <w:rPr>
      <w:rFonts w:ascii="Tahoma" w:hAnsi="Tahoma" w:cs="Tahoma"/>
      <w:sz w:val="16"/>
      <w:szCs w:val="16"/>
      <w:lang w:val="es-ES" w:eastAsia="es-ES"/>
    </w:rPr>
  </w:style>
  <w:style w:type="paragraph" w:customStyle="1" w:styleId="section1">
    <w:name w:val="section1"/>
    <w:basedOn w:val="Normal"/>
    <w:uiPriority w:val="99"/>
    <w:rsid w:val="00896159"/>
    <w:pPr>
      <w:spacing w:before="100" w:beforeAutospacing="1" w:after="100" w:afterAutospacing="1"/>
    </w:pPr>
    <w:rPr>
      <w:rFonts w:eastAsia="Calibri"/>
      <w:lang w:val="es-CR" w:eastAsia="es-CR"/>
    </w:rPr>
  </w:style>
  <w:style w:type="paragraph" w:customStyle="1" w:styleId="WW-Predeterminado1">
    <w:name w:val="WW-Predeterminado1"/>
    <w:next w:val="Normal"/>
    <w:uiPriority w:val="99"/>
    <w:rsid w:val="00BD7695"/>
    <w:pPr>
      <w:widowControl w:val="0"/>
      <w:autoSpaceDE w:val="0"/>
      <w:autoSpaceDN w:val="0"/>
      <w:adjustRightInd w:val="0"/>
    </w:pPr>
    <w:rPr>
      <w:rFonts w:ascii="Arial" w:hAnsi="Arial" w:cs="Arial"/>
      <w:sz w:val="24"/>
      <w:szCs w:val="24"/>
      <w:lang w:eastAsia="es-CR"/>
    </w:rPr>
  </w:style>
  <w:style w:type="paragraph" w:styleId="NormalWeb">
    <w:name w:val="Normal (Web)"/>
    <w:basedOn w:val="Normal"/>
    <w:uiPriority w:val="99"/>
    <w:unhideWhenUsed/>
    <w:rsid w:val="00D3697A"/>
    <w:rPr>
      <w:rFonts w:eastAsia="Calibri"/>
      <w:lang w:val="es-CR" w:eastAsia="es-CR"/>
    </w:rPr>
  </w:style>
  <w:style w:type="character" w:customStyle="1" w:styleId="Mencinsinresolver1">
    <w:name w:val="Mención sin resolver1"/>
    <w:basedOn w:val="Fuentedeprrafopredeter"/>
    <w:uiPriority w:val="99"/>
    <w:semiHidden/>
    <w:unhideWhenUsed/>
    <w:rsid w:val="00B91A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3580">
      <w:bodyDiv w:val="1"/>
      <w:marLeft w:val="0"/>
      <w:marRight w:val="0"/>
      <w:marTop w:val="0"/>
      <w:marBottom w:val="0"/>
      <w:divBdr>
        <w:top w:val="none" w:sz="0" w:space="0" w:color="auto"/>
        <w:left w:val="none" w:sz="0" w:space="0" w:color="auto"/>
        <w:bottom w:val="none" w:sz="0" w:space="0" w:color="auto"/>
        <w:right w:val="none" w:sz="0" w:space="0" w:color="auto"/>
      </w:divBdr>
    </w:div>
    <w:div w:id="675309266">
      <w:bodyDiv w:val="1"/>
      <w:marLeft w:val="0"/>
      <w:marRight w:val="0"/>
      <w:marTop w:val="0"/>
      <w:marBottom w:val="0"/>
      <w:divBdr>
        <w:top w:val="none" w:sz="0" w:space="0" w:color="auto"/>
        <w:left w:val="none" w:sz="0" w:space="0" w:color="auto"/>
        <w:bottom w:val="none" w:sz="0" w:space="0" w:color="auto"/>
        <w:right w:val="none" w:sz="0" w:space="0" w:color="auto"/>
      </w:divBdr>
    </w:div>
    <w:div w:id="892732617">
      <w:bodyDiv w:val="1"/>
      <w:marLeft w:val="0"/>
      <w:marRight w:val="0"/>
      <w:marTop w:val="0"/>
      <w:marBottom w:val="0"/>
      <w:divBdr>
        <w:top w:val="none" w:sz="0" w:space="0" w:color="auto"/>
        <w:left w:val="none" w:sz="0" w:space="0" w:color="auto"/>
        <w:bottom w:val="none" w:sz="0" w:space="0" w:color="auto"/>
        <w:right w:val="none" w:sz="0" w:space="0" w:color="auto"/>
      </w:divBdr>
    </w:div>
    <w:div w:id="934558784">
      <w:bodyDiv w:val="1"/>
      <w:marLeft w:val="0"/>
      <w:marRight w:val="0"/>
      <w:marTop w:val="0"/>
      <w:marBottom w:val="0"/>
      <w:divBdr>
        <w:top w:val="none" w:sz="0" w:space="0" w:color="auto"/>
        <w:left w:val="none" w:sz="0" w:space="0" w:color="auto"/>
        <w:bottom w:val="none" w:sz="0" w:space="0" w:color="auto"/>
        <w:right w:val="none" w:sz="0" w:space="0" w:color="auto"/>
      </w:divBdr>
    </w:div>
    <w:div w:id="1282684208">
      <w:bodyDiv w:val="1"/>
      <w:marLeft w:val="0"/>
      <w:marRight w:val="0"/>
      <w:marTop w:val="0"/>
      <w:marBottom w:val="0"/>
      <w:divBdr>
        <w:top w:val="none" w:sz="0" w:space="0" w:color="auto"/>
        <w:left w:val="none" w:sz="0" w:space="0" w:color="auto"/>
        <w:bottom w:val="none" w:sz="0" w:space="0" w:color="auto"/>
        <w:right w:val="none" w:sz="0" w:space="0" w:color="auto"/>
      </w:divBdr>
    </w:div>
    <w:div w:id="1479806515">
      <w:bodyDiv w:val="1"/>
      <w:marLeft w:val="0"/>
      <w:marRight w:val="0"/>
      <w:marTop w:val="0"/>
      <w:marBottom w:val="0"/>
      <w:divBdr>
        <w:top w:val="none" w:sz="0" w:space="0" w:color="auto"/>
        <w:left w:val="none" w:sz="0" w:space="0" w:color="auto"/>
        <w:bottom w:val="none" w:sz="0" w:space="0" w:color="auto"/>
        <w:right w:val="none" w:sz="0" w:space="0" w:color="auto"/>
      </w:divBdr>
    </w:div>
    <w:div w:id="1769495512">
      <w:bodyDiv w:val="1"/>
      <w:marLeft w:val="0"/>
      <w:marRight w:val="0"/>
      <w:marTop w:val="0"/>
      <w:marBottom w:val="0"/>
      <w:divBdr>
        <w:top w:val="none" w:sz="0" w:space="0" w:color="auto"/>
        <w:left w:val="none" w:sz="0" w:space="0" w:color="auto"/>
        <w:bottom w:val="none" w:sz="0" w:space="0" w:color="auto"/>
        <w:right w:val="none" w:sz="0" w:space="0" w:color="auto"/>
      </w:divBdr>
    </w:div>
    <w:div w:id="1809013478">
      <w:bodyDiv w:val="1"/>
      <w:marLeft w:val="0"/>
      <w:marRight w:val="0"/>
      <w:marTop w:val="0"/>
      <w:marBottom w:val="0"/>
      <w:divBdr>
        <w:top w:val="none" w:sz="0" w:space="0" w:color="auto"/>
        <w:left w:val="none" w:sz="0" w:space="0" w:color="auto"/>
        <w:bottom w:val="none" w:sz="0" w:space="0" w:color="auto"/>
        <w:right w:val="none" w:sz="0" w:space="0" w:color="auto"/>
      </w:divBdr>
      <w:divsChild>
        <w:div w:id="46952854">
          <w:marLeft w:val="0"/>
          <w:marRight w:val="0"/>
          <w:marTop w:val="0"/>
          <w:marBottom w:val="0"/>
          <w:divBdr>
            <w:top w:val="none" w:sz="0" w:space="0" w:color="auto"/>
            <w:left w:val="none" w:sz="0" w:space="0" w:color="auto"/>
            <w:bottom w:val="single" w:sz="8" w:space="1" w:color="auto"/>
            <w:right w:val="none" w:sz="0" w:space="0" w:color="auto"/>
          </w:divBdr>
        </w:div>
        <w:div w:id="66959868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ospj@poder-judicial.go.c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PODER JUDICIAL DIRECCIÓN EJECUTIVA</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 DIRECCIÓN EJECUTIVA</dc:title>
  <dc:creator>aesquivels</dc:creator>
  <cp:lastModifiedBy>Farine Monge Salas</cp:lastModifiedBy>
  <cp:revision>2</cp:revision>
  <dcterms:created xsi:type="dcterms:W3CDTF">2018-01-17T17:33:00Z</dcterms:created>
  <dcterms:modified xsi:type="dcterms:W3CDTF">2018-01-17T17:33:00Z</dcterms:modified>
</cp:coreProperties>
</file>